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D832BB">
        <w:rPr>
          <w:rFonts w:ascii="Verdana" w:hAnsi="Verdana" w:cs="Verdana,Bold"/>
          <w:b/>
          <w:bCs/>
          <w:sz w:val="20"/>
          <w:szCs w:val="20"/>
        </w:rPr>
        <w:t>Weitere Besondere Vertragsbedingungen – Seite 2</w:t>
      </w: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D832BB">
        <w:rPr>
          <w:rFonts w:ascii="Verdana" w:hAnsi="Verdana" w:cs="Verdana,Bold"/>
          <w:b/>
          <w:bCs/>
          <w:sz w:val="20"/>
          <w:szCs w:val="20"/>
        </w:rPr>
        <w:t>Kunstsammlung Zwickau I Depoteinrichtung</w:t>
      </w: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 w:rsidRPr="00D832BB">
        <w:rPr>
          <w:rFonts w:ascii="Verdana" w:hAnsi="Verdana" w:cs="Verdana,Bold"/>
          <w:b/>
          <w:bCs/>
          <w:sz w:val="20"/>
          <w:szCs w:val="20"/>
        </w:rPr>
        <w:t xml:space="preserve">Vergabenummer </w:t>
      </w:r>
      <w:r>
        <w:rPr>
          <w:rFonts w:ascii="Verdana" w:hAnsi="Verdana" w:cs="Verdana,Bold"/>
          <w:b/>
          <w:bCs/>
          <w:sz w:val="20"/>
          <w:szCs w:val="20"/>
        </w:rPr>
        <w:t>41</w:t>
      </w:r>
      <w:r w:rsidRPr="00D832BB">
        <w:rPr>
          <w:rFonts w:ascii="Verdana" w:hAnsi="Verdana" w:cs="Verdana,Bold"/>
          <w:b/>
          <w:bCs/>
          <w:sz w:val="20"/>
          <w:szCs w:val="20"/>
        </w:rPr>
        <w:t>/</w:t>
      </w:r>
      <w:r>
        <w:rPr>
          <w:rFonts w:ascii="Verdana" w:hAnsi="Verdana" w:cs="Verdana,Bold"/>
          <w:b/>
          <w:bCs/>
          <w:sz w:val="20"/>
          <w:szCs w:val="20"/>
        </w:rPr>
        <w:t>0</w:t>
      </w:r>
      <w:r w:rsidRPr="00D832BB">
        <w:rPr>
          <w:rFonts w:ascii="Verdana" w:hAnsi="Verdana" w:cs="Verdana,Bold"/>
          <w:b/>
          <w:bCs/>
          <w:sz w:val="20"/>
          <w:szCs w:val="20"/>
        </w:rPr>
        <w:t>02/2024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Depoteinrichtung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 xml:space="preserve">10.4. </w:t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,Bold"/>
          <w:b/>
          <w:bCs/>
          <w:sz w:val="20"/>
          <w:szCs w:val="20"/>
        </w:rPr>
        <w:t xml:space="preserve">Für Strom- und Wasserverbrauch </w:t>
      </w:r>
      <w:r w:rsidRPr="00D832BB">
        <w:rPr>
          <w:rFonts w:ascii="Verdana" w:hAnsi="Verdana" w:cs="Verdana"/>
          <w:sz w:val="20"/>
          <w:szCs w:val="20"/>
        </w:rPr>
        <w:t xml:space="preserve">werden pauschal </w:t>
      </w:r>
      <w:r w:rsidRPr="00D832BB">
        <w:rPr>
          <w:rFonts w:ascii="Verdana" w:hAnsi="Verdana" w:cs="Verdana,Bold"/>
          <w:b/>
          <w:bCs/>
          <w:sz w:val="20"/>
          <w:szCs w:val="20"/>
        </w:rPr>
        <w:t xml:space="preserve">je 0,2 % </w:t>
      </w:r>
      <w:r>
        <w:rPr>
          <w:rFonts w:ascii="Verdana" w:hAnsi="Verdana" w:cs="Verdana"/>
          <w:sz w:val="20"/>
          <w:szCs w:val="20"/>
        </w:rPr>
        <w:t xml:space="preserve">der Bruttoschlussrechnungssumme </w:t>
      </w:r>
      <w:r w:rsidRPr="00D832BB">
        <w:rPr>
          <w:rFonts w:ascii="Verdana" w:hAnsi="Verdana" w:cs="Verdana"/>
          <w:sz w:val="20"/>
          <w:szCs w:val="20"/>
        </w:rPr>
        <w:t>abgezogen.</w:t>
      </w: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  <w:u w:val="single"/>
        </w:rPr>
      </w:pPr>
      <w:r w:rsidRPr="00D832BB">
        <w:rPr>
          <w:rFonts w:ascii="Verdana" w:hAnsi="Verdana" w:cs="Verdana,Bold"/>
          <w:b/>
          <w:bCs/>
          <w:sz w:val="20"/>
          <w:szCs w:val="20"/>
          <w:u w:val="single"/>
        </w:rPr>
        <w:t>10.5. Bauwesensversicherung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>Der Auftraggeber hat eine Bauleistungsversicherung abgeschlossen. Die Leistungen</w:t>
      </w:r>
      <w:r>
        <w:rPr>
          <w:rFonts w:ascii="Verdana" w:hAnsi="Verdana" w:cs="Verdana"/>
          <w:sz w:val="20"/>
          <w:szCs w:val="20"/>
        </w:rPr>
        <w:t xml:space="preserve"> </w:t>
      </w:r>
      <w:r w:rsidRPr="00D832BB">
        <w:rPr>
          <w:rFonts w:ascii="Verdana" w:hAnsi="Verdana" w:cs="Verdana"/>
          <w:sz w:val="20"/>
          <w:szCs w:val="20"/>
        </w:rPr>
        <w:t>der Auftragnehmer si</w:t>
      </w:r>
      <w:r>
        <w:rPr>
          <w:rFonts w:ascii="Verdana" w:hAnsi="Verdana" w:cs="Verdana"/>
          <w:sz w:val="20"/>
          <w:szCs w:val="20"/>
        </w:rPr>
        <w:t xml:space="preserve">nd hierdurch abgedeckt. Für die Bauleistungsversicherung gelten </w:t>
      </w:r>
      <w:r w:rsidRPr="00D832BB">
        <w:rPr>
          <w:rFonts w:ascii="Verdana" w:hAnsi="Verdana" w:cs="Verdana"/>
          <w:sz w:val="20"/>
          <w:szCs w:val="20"/>
        </w:rPr>
        <w:t>die Allgemeinen Bedingungen für die Bauleistungsversicherung vo</w:t>
      </w:r>
      <w:r>
        <w:rPr>
          <w:rFonts w:ascii="Verdana" w:hAnsi="Verdana" w:cs="Verdana"/>
          <w:sz w:val="20"/>
          <w:szCs w:val="20"/>
        </w:rPr>
        <w:t xml:space="preserve">n Gebäudeneubauten </w:t>
      </w:r>
      <w:r w:rsidRPr="00D832BB">
        <w:rPr>
          <w:rFonts w:ascii="Verdana" w:hAnsi="Verdana" w:cs="Verdana"/>
          <w:sz w:val="20"/>
          <w:szCs w:val="20"/>
        </w:rPr>
        <w:t>durch Auftraggeber (ABN) - Fassung 20</w:t>
      </w:r>
      <w:r>
        <w:rPr>
          <w:rFonts w:ascii="Verdana" w:hAnsi="Verdana" w:cs="Verdana"/>
          <w:sz w:val="20"/>
          <w:szCs w:val="20"/>
        </w:rPr>
        <w:t xml:space="preserve">08. Der Auftragnehmer trägt den </w:t>
      </w:r>
      <w:r w:rsidRPr="00D832BB">
        <w:rPr>
          <w:rFonts w:ascii="Verdana" w:hAnsi="Verdana" w:cs="Verdana"/>
          <w:sz w:val="20"/>
          <w:szCs w:val="20"/>
        </w:rPr>
        <w:t xml:space="preserve">auf seine Leistungen anteilig entfallenden Betrag in Höhe von </w:t>
      </w:r>
      <w:r w:rsidRPr="00D832BB">
        <w:rPr>
          <w:rFonts w:ascii="Verdana" w:hAnsi="Verdana" w:cs="Verdana,Bold"/>
          <w:b/>
          <w:bCs/>
          <w:sz w:val="20"/>
          <w:szCs w:val="20"/>
        </w:rPr>
        <w:t>0,3 % der Bruttoschlussrechnungssumme.</w:t>
      </w: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>Der Betrag der Bau</w:t>
      </w:r>
      <w:r>
        <w:rPr>
          <w:rFonts w:ascii="Verdana" w:hAnsi="Verdana" w:cs="Verdana"/>
          <w:sz w:val="20"/>
          <w:szCs w:val="20"/>
        </w:rPr>
        <w:t xml:space="preserve">leistungsversicherung kommt von </w:t>
      </w:r>
      <w:r w:rsidRPr="00D832BB">
        <w:rPr>
          <w:rFonts w:ascii="Verdana" w:hAnsi="Verdana" w:cs="Verdana"/>
          <w:sz w:val="20"/>
          <w:szCs w:val="20"/>
        </w:rPr>
        <w:t>der Schlussrechnung in Abzug.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Verdana"/>
          <w:sz w:val="20"/>
          <w:szCs w:val="20"/>
        </w:rPr>
      </w:pP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 xml:space="preserve">10.6. </w:t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"/>
          <w:sz w:val="20"/>
          <w:szCs w:val="20"/>
        </w:rPr>
        <w:t>Während der Bauzeit ist ein Bautagebuch mit wöchentlicher Gegenzeichnung des</w:t>
      </w: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>Bauleiters zu führen. Das Bautagebuch ist jeweils mit der Abschlagsrechnung einzureichen.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 xml:space="preserve">10.7. </w:t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"/>
          <w:sz w:val="20"/>
          <w:szCs w:val="20"/>
        </w:rPr>
        <w:t xml:space="preserve">Vor Angebotsabgabe wird empfohlen, die Baustelle zu besichtigen </w:t>
      </w:r>
      <w:r>
        <w:rPr>
          <w:rFonts w:ascii="Verdana" w:hAnsi="Verdana" w:cs="Verdana"/>
          <w:sz w:val="20"/>
          <w:szCs w:val="20"/>
        </w:rPr>
        <w:t xml:space="preserve">und sich über die </w:t>
      </w:r>
      <w:r w:rsidRPr="00D832BB">
        <w:rPr>
          <w:rFonts w:ascii="Verdana" w:hAnsi="Verdana" w:cs="Verdana"/>
          <w:sz w:val="20"/>
          <w:szCs w:val="20"/>
        </w:rPr>
        <w:t>Gegebenheiten zu informieren.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Verdana" w:hAnsi="Verdana" w:cs="Verdana"/>
          <w:sz w:val="20"/>
          <w:szCs w:val="20"/>
        </w:rPr>
      </w:pP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 xml:space="preserve">10.8 </w:t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"/>
          <w:sz w:val="20"/>
          <w:szCs w:val="20"/>
        </w:rPr>
        <w:t xml:space="preserve">Es wird wöchentlich eine Bauberatung durchgeführt. </w:t>
      </w:r>
      <w:r>
        <w:rPr>
          <w:rFonts w:ascii="Verdana" w:hAnsi="Verdana" w:cs="Verdana"/>
          <w:sz w:val="20"/>
          <w:szCs w:val="20"/>
        </w:rPr>
        <w:t xml:space="preserve">Die Teilnahme an den Beratungen </w:t>
      </w:r>
      <w:r w:rsidRPr="00D832BB">
        <w:rPr>
          <w:rFonts w:ascii="Verdana" w:hAnsi="Verdana" w:cs="Verdana"/>
          <w:sz w:val="20"/>
          <w:szCs w:val="20"/>
        </w:rPr>
        <w:t>ist für jeden AN mit einem kompetenten Vertreter Pflicht.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 xml:space="preserve">10.9. </w:t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"/>
          <w:sz w:val="20"/>
          <w:szCs w:val="20"/>
        </w:rPr>
        <w:t>Der Bieter verpflichtet sich, im Auftragsfall nur Produkte anzubieten und/oder zu</w:t>
      </w: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>verarbeiten, die ohne ausbeuterische Kinderarbeit im Sinne der ILO-Konvention 182</w:t>
      </w:r>
      <w:r>
        <w:rPr>
          <w:rFonts w:ascii="Verdana" w:hAnsi="Verdana" w:cs="Verdana"/>
          <w:sz w:val="20"/>
          <w:szCs w:val="20"/>
        </w:rPr>
        <w:t xml:space="preserve"> </w:t>
      </w:r>
      <w:r w:rsidRPr="00D832BB">
        <w:rPr>
          <w:rFonts w:ascii="Verdana" w:hAnsi="Verdana" w:cs="Verdana"/>
          <w:sz w:val="20"/>
          <w:szCs w:val="20"/>
        </w:rPr>
        <w:t>über die schlimmsten Formen der Kinderarbeit hergeste</w:t>
      </w:r>
      <w:r>
        <w:rPr>
          <w:rFonts w:ascii="Verdana" w:hAnsi="Verdana" w:cs="Verdana"/>
          <w:sz w:val="20"/>
          <w:szCs w:val="20"/>
        </w:rPr>
        <w:t xml:space="preserve">llt sind, bzw. deren Hersteller </w:t>
      </w:r>
      <w:r w:rsidRPr="00D832BB">
        <w:rPr>
          <w:rFonts w:ascii="Verdana" w:hAnsi="Verdana" w:cs="Verdana"/>
          <w:sz w:val="20"/>
          <w:szCs w:val="20"/>
        </w:rPr>
        <w:t>oder Verkäufer aktive zielführende Maßnahmen zum Ausstieg aus d</w:t>
      </w:r>
      <w:r>
        <w:rPr>
          <w:rFonts w:ascii="Verdana" w:hAnsi="Verdana" w:cs="Verdana"/>
          <w:sz w:val="20"/>
          <w:szCs w:val="20"/>
        </w:rPr>
        <w:t xml:space="preserve">er ausbeuterischen </w:t>
      </w:r>
      <w:r w:rsidRPr="00D832BB">
        <w:rPr>
          <w:rFonts w:ascii="Verdana" w:hAnsi="Verdana" w:cs="Verdana"/>
          <w:sz w:val="20"/>
          <w:szCs w:val="20"/>
        </w:rPr>
        <w:t>Kinderarbeit eingeleitet haben. Bei Produkten, die in A</w:t>
      </w:r>
      <w:r>
        <w:rPr>
          <w:rFonts w:ascii="Verdana" w:hAnsi="Verdana" w:cs="Verdana"/>
          <w:sz w:val="20"/>
          <w:szCs w:val="20"/>
        </w:rPr>
        <w:t xml:space="preserve">sien, Afrika oder Lateinamerika </w:t>
      </w:r>
      <w:r w:rsidRPr="00D832BB">
        <w:rPr>
          <w:rFonts w:ascii="Verdana" w:hAnsi="Verdana" w:cs="Verdana"/>
          <w:sz w:val="20"/>
          <w:szCs w:val="20"/>
        </w:rPr>
        <w:t xml:space="preserve">hergestellt und verarbeitet worden sind, </w:t>
      </w:r>
      <w:r>
        <w:rPr>
          <w:rFonts w:ascii="Verdana" w:hAnsi="Verdana" w:cs="Verdana"/>
          <w:sz w:val="20"/>
          <w:szCs w:val="20"/>
        </w:rPr>
        <w:t xml:space="preserve">ist dies nach Möglichkeit durch </w:t>
      </w:r>
      <w:r w:rsidRPr="00D832BB">
        <w:rPr>
          <w:rFonts w:ascii="Verdana" w:hAnsi="Verdana" w:cs="Verdana"/>
          <w:sz w:val="20"/>
          <w:szCs w:val="20"/>
        </w:rPr>
        <w:t>die Zertifizierung einer unabhängigen Organ</w:t>
      </w:r>
      <w:r>
        <w:rPr>
          <w:rFonts w:ascii="Verdana" w:hAnsi="Verdana" w:cs="Verdana"/>
          <w:sz w:val="20"/>
          <w:szCs w:val="20"/>
        </w:rPr>
        <w:t xml:space="preserve">isation oder eine entsprechende </w:t>
      </w:r>
      <w:r w:rsidRPr="00D832BB">
        <w:rPr>
          <w:rFonts w:ascii="Verdana" w:hAnsi="Verdana" w:cs="Verdana"/>
          <w:sz w:val="20"/>
          <w:szCs w:val="20"/>
        </w:rPr>
        <w:t>Se</w:t>
      </w:r>
      <w:r>
        <w:rPr>
          <w:rFonts w:ascii="Verdana" w:hAnsi="Verdana" w:cs="Verdana"/>
          <w:sz w:val="20"/>
          <w:szCs w:val="20"/>
        </w:rPr>
        <w:t>lbstverpflichtung nachzuweisen.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>10.10. Für die Ausführung wird festgelegt, dass die angebotenen Preise einer Preisbindung</w:t>
      </w:r>
      <w:r>
        <w:rPr>
          <w:rFonts w:ascii="Verdana" w:hAnsi="Verdana" w:cs="Verdana"/>
          <w:sz w:val="20"/>
          <w:szCs w:val="20"/>
        </w:rPr>
        <w:t xml:space="preserve"> </w:t>
      </w:r>
      <w:r w:rsidRPr="00D832BB">
        <w:rPr>
          <w:rFonts w:ascii="Verdana" w:hAnsi="Verdana" w:cs="Verdana"/>
          <w:sz w:val="20"/>
          <w:szCs w:val="20"/>
        </w:rPr>
        <w:t>bis Auftragsende unterliegen.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Verdana" w:hAnsi="Verdana" w:cs="Verdana"/>
          <w:sz w:val="20"/>
          <w:szCs w:val="20"/>
        </w:rPr>
      </w:pP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>10.11. Das Angebot ist nach Möglichkeit als PDF-Ausdruck und</w:t>
      </w:r>
      <w:bookmarkStart w:id="0" w:name="_GoBack"/>
      <w:bookmarkEnd w:id="0"/>
      <w:r w:rsidRPr="00D832BB">
        <w:rPr>
          <w:rFonts w:ascii="Verdana" w:hAnsi="Verdana" w:cs="Verdana"/>
          <w:sz w:val="20"/>
          <w:szCs w:val="20"/>
        </w:rPr>
        <w:t xml:space="preserve"> in GAEB 84 abzugeben.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 xml:space="preserve">10.12 </w:t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"/>
          <w:sz w:val="20"/>
          <w:szCs w:val="20"/>
        </w:rPr>
        <w:t>Die Ausführung von Stundenlohnarbeiten ist dem AG umgehend anzuzeigen und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>durch diesen schriftlich genehmigen zu lassen. Die Nachweise sind tagtäglich zu</w:t>
      </w: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>führen und mindestens wöchentlich durch die Bauüberwachung schriftlich bestätigen</w:t>
      </w:r>
      <w:r>
        <w:rPr>
          <w:rFonts w:ascii="Verdana" w:hAnsi="Verdana" w:cs="Verdana"/>
          <w:sz w:val="20"/>
          <w:szCs w:val="20"/>
        </w:rPr>
        <w:t xml:space="preserve"> </w:t>
      </w:r>
      <w:r w:rsidRPr="00D832BB">
        <w:rPr>
          <w:rFonts w:ascii="Verdana" w:hAnsi="Verdana" w:cs="Verdana"/>
          <w:sz w:val="20"/>
          <w:szCs w:val="20"/>
        </w:rPr>
        <w:t>zu lassen. Darüber hinaus nicht bestätigte S</w:t>
      </w:r>
      <w:r>
        <w:rPr>
          <w:rFonts w:ascii="Verdana" w:hAnsi="Verdana" w:cs="Verdana"/>
          <w:sz w:val="20"/>
          <w:szCs w:val="20"/>
        </w:rPr>
        <w:t xml:space="preserve">tundenlohnarbeiten werden nicht </w:t>
      </w:r>
      <w:r w:rsidRPr="00D832BB">
        <w:rPr>
          <w:rFonts w:ascii="Verdana" w:hAnsi="Verdana" w:cs="Verdana"/>
          <w:sz w:val="20"/>
          <w:szCs w:val="20"/>
        </w:rPr>
        <w:t>vergütet.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 xml:space="preserve">10.13 </w:t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"/>
          <w:sz w:val="20"/>
          <w:szCs w:val="20"/>
        </w:rPr>
        <w:t>Anfallende Nachtragsleistungen sind dem AG umg</w:t>
      </w:r>
      <w:r>
        <w:rPr>
          <w:rFonts w:ascii="Verdana" w:hAnsi="Verdana" w:cs="Verdana"/>
          <w:sz w:val="20"/>
          <w:szCs w:val="20"/>
        </w:rPr>
        <w:t xml:space="preserve">ehend anzuzeigen und genehmigen </w:t>
      </w:r>
      <w:r w:rsidRPr="00D832BB">
        <w:rPr>
          <w:rFonts w:ascii="Verdana" w:hAnsi="Verdana" w:cs="Verdana"/>
          <w:sz w:val="20"/>
          <w:szCs w:val="20"/>
        </w:rPr>
        <w:t>zu lassen. Nicht genehmigte Nachtragsleistungen werden nicht vergütet.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 xml:space="preserve">10.14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,Bold"/>
          <w:b/>
          <w:bCs/>
          <w:sz w:val="20"/>
          <w:szCs w:val="20"/>
        </w:rPr>
        <w:t xml:space="preserve">Die Baustelle ist eine Terminbaustelle. </w:t>
      </w:r>
      <w:r w:rsidRPr="00D832BB">
        <w:rPr>
          <w:rFonts w:ascii="Verdana" w:hAnsi="Verdana" w:cs="Verdana"/>
          <w:sz w:val="20"/>
          <w:szCs w:val="20"/>
        </w:rPr>
        <w:t>Zur Einhaltung der B</w:t>
      </w:r>
      <w:r>
        <w:rPr>
          <w:rFonts w:ascii="Verdana" w:hAnsi="Verdana" w:cs="Verdana"/>
          <w:sz w:val="20"/>
          <w:szCs w:val="20"/>
        </w:rPr>
        <w:t xml:space="preserve">autermine ist einzukalkulieren, </w:t>
      </w:r>
      <w:r w:rsidRPr="00D832BB">
        <w:rPr>
          <w:rFonts w:ascii="Verdana" w:hAnsi="Verdana" w:cs="Verdana"/>
          <w:sz w:val="20"/>
          <w:szCs w:val="20"/>
        </w:rPr>
        <w:t>dass unter Umständen in zwei Schichten und samstags gearbeitet</w:t>
      </w:r>
      <w:r>
        <w:rPr>
          <w:rFonts w:ascii="Verdana" w:hAnsi="Verdana" w:cs="Verdana"/>
          <w:sz w:val="20"/>
          <w:szCs w:val="20"/>
        </w:rPr>
        <w:t xml:space="preserve"> </w:t>
      </w:r>
      <w:r w:rsidRPr="00D832BB">
        <w:rPr>
          <w:rFonts w:ascii="Verdana" w:hAnsi="Verdana" w:cs="Verdana"/>
          <w:sz w:val="20"/>
          <w:szCs w:val="20"/>
        </w:rPr>
        <w:t xml:space="preserve">werden muss. Die Ausführungsfristen </w:t>
      </w:r>
      <w:r>
        <w:rPr>
          <w:rFonts w:ascii="Verdana" w:hAnsi="Verdana" w:cs="Verdana"/>
          <w:sz w:val="20"/>
          <w:szCs w:val="20"/>
        </w:rPr>
        <w:t xml:space="preserve">unter Punkt 1.1. der Besonderen Vertragsbedingungen </w:t>
      </w:r>
      <w:r w:rsidRPr="00D832BB">
        <w:rPr>
          <w:rFonts w:ascii="Verdana" w:hAnsi="Verdana" w:cs="Verdana"/>
          <w:sz w:val="20"/>
          <w:szCs w:val="20"/>
        </w:rPr>
        <w:t>sind einzuhalten.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10.15.</w:t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"/>
          <w:sz w:val="20"/>
          <w:szCs w:val="20"/>
        </w:rPr>
        <w:t>Ausführungsfristen: Weitere Zwischentermine bzw. Einzelfris</w:t>
      </w:r>
      <w:r>
        <w:rPr>
          <w:rFonts w:ascii="Verdana" w:hAnsi="Verdana" w:cs="Verdana"/>
          <w:sz w:val="20"/>
          <w:szCs w:val="20"/>
        </w:rPr>
        <w:t xml:space="preserve">ten werden in den Bauberatungen </w:t>
      </w:r>
      <w:r w:rsidRPr="00D832BB">
        <w:rPr>
          <w:rFonts w:ascii="Verdana" w:hAnsi="Verdana" w:cs="Verdana"/>
          <w:sz w:val="20"/>
          <w:szCs w:val="20"/>
        </w:rPr>
        <w:t>festgelegt, diese werden Vertragsbestandteil.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  <w:sz w:val="20"/>
          <w:szCs w:val="20"/>
        </w:rPr>
      </w:pP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10.16.</w:t>
      </w:r>
      <w:r>
        <w:rPr>
          <w:rFonts w:ascii="Verdana" w:hAnsi="Verdana" w:cs="Verdana"/>
          <w:sz w:val="20"/>
          <w:szCs w:val="20"/>
        </w:rPr>
        <w:tab/>
      </w:r>
      <w:r w:rsidRPr="00D832BB">
        <w:rPr>
          <w:rFonts w:ascii="Verdana" w:hAnsi="Verdana" w:cs="Verdana"/>
          <w:sz w:val="20"/>
          <w:szCs w:val="20"/>
        </w:rPr>
        <w:t>Bei günstig laufenden Bauarbeiten im Vorfeld der ausgeschriebenen Leistungen</w:t>
      </w:r>
    </w:p>
    <w:p w:rsidR="00D832BB" w:rsidRDefault="00D832BB" w:rsidP="00D832BB">
      <w:pPr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Verdana"/>
          <w:sz w:val="20"/>
          <w:szCs w:val="20"/>
        </w:rPr>
      </w:pPr>
      <w:r w:rsidRPr="00D832BB">
        <w:rPr>
          <w:rFonts w:ascii="Verdana" w:hAnsi="Verdana" w:cs="Verdana"/>
          <w:sz w:val="20"/>
          <w:szCs w:val="20"/>
        </w:rPr>
        <w:t>können sich die Ausführungstermine gegebenenfalls nach vorn verschieben (Beginn</w:t>
      </w:r>
      <w:r>
        <w:rPr>
          <w:rFonts w:ascii="Verdana" w:hAnsi="Verdana" w:cs="Verdana"/>
          <w:sz w:val="20"/>
          <w:szCs w:val="20"/>
        </w:rPr>
        <w:t xml:space="preserve"> </w:t>
      </w:r>
      <w:r w:rsidRPr="00D832BB">
        <w:rPr>
          <w:rFonts w:ascii="Verdana" w:hAnsi="Verdana" w:cs="Verdana"/>
          <w:sz w:val="20"/>
          <w:szCs w:val="20"/>
        </w:rPr>
        <w:t xml:space="preserve">und Ende eher) gegenüber der in den Besonderen </w:t>
      </w:r>
      <w:r>
        <w:rPr>
          <w:rFonts w:ascii="Verdana" w:hAnsi="Verdana" w:cs="Verdana"/>
          <w:sz w:val="20"/>
          <w:szCs w:val="20"/>
        </w:rPr>
        <w:t xml:space="preserve">Vertragsbedingungen unter Punkt </w:t>
      </w:r>
      <w:r w:rsidRPr="00D832BB">
        <w:rPr>
          <w:rFonts w:ascii="Verdana" w:hAnsi="Verdana" w:cs="Verdana"/>
          <w:sz w:val="20"/>
          <w:szCs w:val="20"/>
        </w:rPr>
        <w:t>1.1. angegebenen Termine.</w:t>
      </w:r>
    </w:p>
    <w:p w:rsidR="00D832BB" w:rsidRPr="00D832BB" w:rsidRDefault="00D832BB" w:rsidP="00D832BB">
      <w:pPr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Verdana"/>
          <w:sz w:val="20"/>
          <w:szCs w:val="20"/>
        </w:rPr>
      </w:pPr>
    </w:p>
    <w:p w:rsidR="006D2998" w:rsidRPr="00D832BB" w:rsidRDefault="00D832BB" w:rsidP="00D832BB">
      <w:pPr>
        <w:ind w:firstLine="708"/>
        <w:rPr>
          <w:rFonts w:ascii="Verdana" w:hAnsi="Verdana"/>
          <w:sz w:val="20"/>
          <w:szCs w:val="20"/>
        </w:rPr>
      </w:pPr>
      <w:r w:rsidRPr="00D832BB">
        <w:rPr>
          <w:rFonts w:ascii="Verdana" w:hAnsi="Verdana" w:cs="Verdana,Bold"/>
          <w:b/>
          <w:bCs/>
          <w:sz w:val="20"/>
          <w:szCs w:val="20"/>
        </w:rPr>
        <w:t>- Ende der Weiteren Besonderen Vertragsbedingungen -</w:t>
      </w:r>
    </w:p>
    <w:sectPr w:rsidR="006D2998" w:rsidRPr="00D832BB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2BB" w:rsidRDefault="00D832BB" w:rsidP="00D832BB">
      <w:pPr>
        <w:spacing w:after="0" w:line="240" w:lineRule="auto"/>
      </w:pPr>
      <w:r>
        <w:separator/>
      </w:r>
    </w:p>
  </w:endnote>
  <w:endnote w:type="continuationSeparator" w:id="0">
    <w:p w:rsidR="00D832BB" w:rsidRDefault="00D832BB" w:rsidP="00D8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17140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832BB" w:rsidRDefault="00D832BB">
            <w:pPr>
              <w:pStyle w:val="Fuzeile"/>
              <w:jc w:val="right"/>
            </w:pPr>
            <w:r w:rsidRPr="00D832BB">
              <w:rPr>
                <w:rFonts w:ascii="Verdana" w:hAnsi="Verdana"/>
                <w:sz w:val="20"/>
                <w:szCs w:val="20"/>
              </w:rPr>
              <w:t xml:space="preserve">Seite </w:t>
            </w:r>
            <w:r w:rsidRPr="00D832BB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D832BB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D832BB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D832BB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D832BB">
              <w:rPr>
                <w:rFonts w:ascii="Verdana" w:hAnsi="Verdana"/>
                <w:sz w:val="20"/>
                <w:szCs w:val="20"/>
              </w:rPr>
              <w:t xml:space="preserve"> von </w:t>
            </w:r>
            <w:r w:rsidRPr="00D832BB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D832BB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D832BB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D832BB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832BB" w:rsidRPr="00D832BB" w:rsidRDefault="00D832BB">
    <w:pPr>
      <w:pStyle w:val="Fuzeile"/>
      <w:rPr>
        <w:rFonts w:ascii="Verdana" w:hAnsi="Verdana"/>
        <w:sz w:val="20"/>
        <w:szCs w:val="20"/>
      </w:rPr>
    </w:pPr>
    <w:r w:rsidRPr="00D832BB">
      <w:rPr>
        <w:rFonts w:ascii="Verdana" w:hAnsi="Verdana"/>
        <w:sz w:val="20"/>
        <w:szCs w:val="20"/>
      </w:rPr>
      <w:t>Weitere Besondere Vertragsbedingungen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2BB" w:rsidRDefault="00D832BB" w:rsidP="00D832BB">
      <w:pPr>
        <w:spacing w:after="0" w:line="240" w:lineRule="auto"/>
      </w:pPr>
      <w:r>
        <w:separator/>
      </w:r>
    </w:p>
  </w:footnote>
  <w:footnote w:type="continuationSeparator" w:id="0">
    <w:p w:rsidR="00D832BB" w:rsidRDefault="00D832BB" w:rsidP="00D832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2BB"/>
    <w:rsid w:val="006D2998"/>
    <w:rsid w:val="00B943CD"/>
    <w:rsid w:val="00D8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48364"/>
  <w15:chartTrackingRefBased/>
  <w15:docId w15:val="{42E98DCF-CC75-4C4F-A7C1-D53615E9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3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32BB"/>
  </w:style>
  <w:style w:type="paragraph" w:styleId="Fuzeile">
    <w:name w:val="footer"/>
    <w:basedOn w:val="Standard"/>
    <w:link w:val="FuzeileZchn"/>
    <w:uiPriority w:val="99"/>
    <w:unhideWhenUsed/>
    <w:rsid w:val="00D83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SVZ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Klefker, T. Fr.</dc:creator>
  <cp:keywords/>
  <dc:description/>
  <cp:lastModifiedBy>Klefker, T. Fr.</cp:lastModifiedBy>
  <cp:revision>1</cp:revision>
  <dcterms:created xsi:type="dcterms:W3CDTF">2024-11-04T11:20:00Z</dcterms:created>
  <dcterms:modified xsi:type="dcterms:W3CDTF">2024-11-04T11:28:00Z</dcterms:modified>
</cp:coreProperties>
</file>