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jp158umcu061" w:id="0"/>
      <w:bookmarkEnd w:id="0"/>
      <w:r w:rsidDel="00000000" w:rsidR="00000000" w:rsidRPr="00000000">
        <w:rPr>
          <w:rtl w:val="0"/>
        </w:rPr>
        <w:t xml:space="preserve">Preisblatt zur Rahmenvereinbarung </w:t>
      </w:r>
    </w:p>
    <w:p w:rsidR="00000000" w:rsidDel="00000000" w:rsidP="00000000" w:rsidRDefault="00000000" w:rsidRPr="00000000" w14:paraId="00000002">
      <w:pPr>
        <w:pStyle w:val="Subtitle"/>
        <w:rPr>
          <w:color w:val="666666"/>
          <w:sz w:val="30"/>
          <w:szCs w:val="30"/>
        </w:rPr>
      </w:pPr>
      <w:bookmarkStart w:colFirst="0" w:colLast="0" w:name="_9vm3gz50h6uy" w:id="1"/>
      <w:bookmarkEnd w:id="1"/>
      <w:r w:rsidDel="00000000" w:rsidR="00000000" w:rsidRPr="00000000">
        <w:rPr>
          <w:rtl w:val="0"/>
        </w:rPr>
        <w:t xml:space="preserve">“</w:t>
      </w:r>
      <w:r w:rsidDel="00000000" w:rsidR="00000000" w:rsidRPr="00000000">
        <w:rPr>
          <w:color w:val="666666"/>
          <w:sz w:val="30"/>
          <w:szCs w:val="30"/>
          <w:rtl w:val="0"/>
        </w:rPr>
        <w:t xml:space="preserve">Weiterentwicklung und Betrieb der Software für die Datentreuhänder-Plattform EuroDaT sowie des AML-Anwendungsfalls safeAML”</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br w:type="page"/>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5">
          <w:pPr>
            <w:widowControl w:val="0"/>
            <w:tabs>
              <w:tab w:val="right" w:leader="dot" w:pos="12000"/>
            </w:tabs>
            <w:spacing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7e9fp1ocp9et">
            <w:r w:rsidDel="00000000" w:rsidR="00000000" w:rsidRPr="00000000">
              <w:rPr>
                <w:b w:val="1"/>
                <w:color w:val="000000"/>
                <w:u w:val="none"/>
                <w:rtl w:val="0"/>
              </w:rPr>
              <w:t xml:space="preserve">1 Preismodell und Verrechnungsarten</w:t>
              <w:tab/>
              <w:t xml:space="preserve">3</w:t>
            </w:r>
          </w:hyperlink>
          <w:r w:rsidDel="00000000" w:rsidR="00000000" w:rsidRPr="00000000">
            <w:rPr>
              <w:rtl w:val="0"/>
            </w:rPr>
          </w:r>
        </w:p>
        <w:p w:rsidR="00000000" w:rsidDel="00000000" w:rsidP="00000000" w:rsidRDefault="00000000" w:rsidRPr="00000000" w14:paraId="00000006">
          <w:pPr>
            <w:widowControl w:val="0"/>
            <w:tabs>
              <w:tab w:val="right" w:leader="dot" w:pos="12000"/>
            </w:tabs>
            <w:spacing w:before="60" w:line="240" w:lineRule="auto"/>
            <w:rPr>
              <w:b w:val="1"/>
              <w:color w:val="000000"/>
              <w:u w:val="none"/>
            </w:rPr>
          </w:pPr>
          <w:hyperlink w:anchor="_xmlg3pa5di1n">
            <w:r w:rsidDel="00000000" w:rsidR="00000000" w:rsidRPr="00000000">
              <w:rPr>
                <w:b w:val="1"/>
                <w:color w:val="000000"/>
                <w:u w:val="none"/>
                <w:rtl w:val="0"/>
              </w:rPr>
              <w:t xml:space="preserve">2 Pauschalpreise</w:t>
              <w:tab/>
              <w:t xml:space="preserve">3</w:t>
            </w:r>
          </w:hyperlink>
          <w:r w:rsidDel="00000000" w:rsidR="00000000" w:rsidRPr="00000000">
            <w:rPr>
              <w:rtl w:val="0"/>
            </w:rPr>
          </w:r>
        </w:p>
        <w:p w:rsidR="00000000" w:rsidDel="00000000" w:rsidP="00000000" w:rsidRDefault="00000000" w:rsidRPr="00000000" w14:paraId="00000007">
          <w:pPr>
            <w:widowControl w:val="0"/>
            <w:tabs>
              <w:tab w:val="right" w:leader="dot" w:pos="12000"/>
            </w:tabs>
            <w:spacing w:before="60" w:line="240" w:lineRule="auto"/>
            <w:rPr>
              <w:b w:val="1"/>
              <w:color w:val="000000"/>
              <w:u w:val="none"/>
            </w:rPr>
          </w:pPr>
          <w:hyperlink w:anchor="_bd1jw3kog8lx">
            <w:r w:rsidDel="00000000" w:rsidR="00000000" w:rsidRPr="00000000">
              <w:rPr>
                <w:b w:val="1"/>
                <w:color w:val="000000"/>
                <w:u w:val="none"/>
                <w:rtl w:val="0"/>
              </w:rPr>
              <w:t xml:space="preserve">3 Einheits-/T&amp;M-Preise</w:t>
              <w:tab/>
              <w:t xml:space="preserve">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8">
      <w:pPr>
        <w:rPr/>
      </w:pPr>
      <w:r w:rsidDel="00000000" w:rsidR="00000000" w:rsidRPr="00000000">
        <w:br w:type="page"/>
      </w:r>
      <w:r w:rsidDel="00000000" w:rsidR="00000000" w:rsidRPr="00000000">
        <w:rPr>
          <w:rtl w:val="0"/>
        </w:rPr>
      </w:r>
    </w:p>
    <w:p w:rsidR="00000000" w:rsidDel="00000000" w:rsidP="00000000" w:rsidRDefault="00000000" w:rsidRPr="00000000" w14:paraId="00000009">
      <w:pPr>
        <w:pStyle w:val="Heading1"/>
        <w:rPr/>
      </w:pPr>
      <w:bookmarkStart w:colFirst="0" w:colLast="0" w:name="_7e9fp1ocp9et" w:id="2"/>
      <w:bookmarkEnd w:id="2"/>
      <w:r w:rsidDel="00000000" w:rsidR="00000000" w:rsidRPr="00000000">
        <w:rPr>
          <w:rtl w:val="0"/>
        </w:rPr>
        <w:t xml:space="preserve">1 Preismodell und Verrechnungsarten</w:t>
      </w:r>
    </w:p>
    <w:p w:rsidR="00000000" w:rsidDel="00000000" w:rsidP="00000000" w:rsidRDefault="00000000" w:rsidRPr="00000000" w14:paraId="0000000A">
      <w:pPr>
        <w:rPr/>
      </w:pPr>
      <w:r w:rsidDel="00000000" w:rsidR="00000000" w:rsidRPr="00000000">
        <w:rPr>
          <w:rtl w:val="0"/>
        </w:rPr>
        <w:t xml:space="preserve">Das Preismodell für die in der Rahmenvereinbarung und zugehörigen Vertragsteilen vereinbarten Leistungen der Auftragnehmerin unterscheidet für die einzelnen Leistungsbereiche folgende Leistungsverrechnungsarten: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Verrechnung auf Basis von Pauschalpreisen</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Verrechnung nach Aufwand auf Basis von Einheits/T&amp;M-Preisen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Die Zuordnung der Verrechnungsarten zu den Leistungsbereiche ergibt sich aus der folgenden Tabelle.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Tabelle 1: Leistungsbereiche, Lose und Verrechnungsarten</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Leistungsbereich</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Betroffene Lose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Verrechnungsart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Weiterentwicklung EuroDaT-Plattform bzw. safeAML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Los 1 und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T&amp;M-Preise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Betrieb EuroDaT-Plattform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Los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Pauschalpreis pro Monat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Betrieb safeAML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Los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Pauschalpreis pro Monat</w:t>
            </w:r>
          </w:p>
        </w:tc>
      </w:tr>
    </w:tbl>
    <w:p w:rsidR="00000000" w:rsidDel="00000000" w:rsidP="00000000" w:rsidRDefault="00000000" w:rsidRPr="00000000" w14:paraId="0000001E">
      <w:pPr>
        <w:pStyle w:val="Heading1"/>
        <w:rPr/>
      </w:pPr>
      <w:bookmarkStart w:colFirst="0" w:colLast="0" w:name="_xmlg3pa5di1n" w:id="3"/>
      <w:bookmarkEnd w:id="3"/>
      <w:r w:rsidDel="00000000" w:rsidR="00000000" w:rsidRPr="00000000">
        <w:rPr>
          <w:rtl w:val="0"/>
        </w:rPr>
        <w:t xml:space="preserve">2 Pauschalpreise</w:t>
      </w:r>
    </w:p>
    <w:p w:rsidR="00000000" w:rsidDel="00000000" w:rsidP="00000000" w:rsidRDefault="00000000" w:rsidRPr="00000000" w14:paraId="0000001F">
      <w:pPr>
        <w:rPr/>
      </w:pPr>
      <w:r w:rsidDel="00000000" w:rsidR="00000000" w:rsidRPr="00000000">
        <w:rPr>
          <w:rtl w:val="0"/>
        </w:rPr>
        <w:t xml:space="preserve">Für im Rahmen von Los 1 monatlich zu erbringende Leistungen gelten die in Tabelle 2 gelisteten monatlichen Pauschalpreise. Für im Rahmen von Los 2 monatlich zu erbringende Leistungen gelten die in Tabelle 3 gelisteten einmaligen Pauschalpreise. Die Preise sind über alle Systemumgebungen hinweg genannt. Die Leistungserbringung erfolgt nach  Einzelaufträgen auf Basis der Rahmenvereinbarung, die den Zeitraum und die zutreffenden Lose für die Leistung festlegen.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highlight w:val="yellow"/>
        </w:rPr>
      </w:pPr>
      <w:r w:rsidDel="00000000" w:rsidR="00000000" w:rsidRPr="00000000">
        <w:rPr>
          <w:highlight w:val="yellow"/>
          <w:rtl w:val="0"/>
        </w:rPr>
        <w:t xml:space="preserve">[Bearbeitungshinweis: Nachfolgende Tabellen sind durch Bieter als Teil des Angebots zu ergänzen. Tabelle 2 ist nur auszufüllen, falls ein Angebot für Los 1 abgegeben wird. Tabelle 3 ist nur auszufüllen, falls ein Angebot für Los 2 abgegeben wird.]</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Tabelle 2: Monatliche Pauschalpreise für Leistungen im Rahmen von Los 1</w:t>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Leistungsbereich</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Pauschalpreis pro Monat in EUR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Betrieb der EuroDaT-Plattform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xxx,xx</w:t>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Tabelle 3: Monatliche Pauschalpreise für Leistungen im Rahmen von Los 2</w:t>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b w:val="1"/>
              </w:rPr>
            </w:pPr>
            <w:r w:rsidDel="00000000" w:rsidR="00000000" w:rsidRPr="00000000">
              <w:rPr>
                <w:b w:val="1"/>
                <w:rtl w:val="0"/>
              </w:rPr>
              <w:t xml:space="preserve">Leistungsbereich</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right"/>
              <w:rPr>
                <w:b w:val="1"/>
              </w:rPr>
            </w:pPr>
            <w:r w:rsidDel="00000000" w:rsidR="00000000" w:rsidRPr="00000000">
              <w:rPr>
                <w:b w:val="1"/>
                <w:rtl w:val="0"/>
              </w:rPr>
              <w:t xml:space="preserve">Pauschalpreis pro Monat in EUR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Betrieb von safeAML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right"/>
              <w:rPr/>
            </w:pPr>
            <w:r w:rsidDel="00000000" w:rsidR="00000000" w:rsidRPr="00000000">
              <w:rPr>
                <w:rtl w:val="0"/>
              </w:rPr>
              <w:t xml:space="preserve">xxx,xx</w:t>
            </w:r>
          </w:p>
        </w:tc>
      </w:tr>
    </w:tbl>
    <w:p w:rsidR="00000000" w:rsidDel="00000000" w:rsidP="00000000" w:rsidRDefault="00000000" w:rsidRPr="00000000" w14:paraId="0000002E">
      <w:pPr>
        <w:pStyle w:val="Heading1"/>
        <w:rPr/>
      </w:pPr>
      <w:bookmarkStart w:colFirst="0" w:colLast="0" w:name="_bd1jw3kog8lx" w:id="4"/>
      <w:bookmarkEnd w:id="4"/>
      <w:r w:rsidDel="00000000" w:rsidR="00000000" w:rsidRPr="00000000">
        <w:rPr>
          <w:rtl w:val="0"/>
        </w:rPr>
        <w:t xml:space="preserve">3 Einheits-/T&amp;M-Preise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Die Leistungen, die nach Einzelaufträgen auf Basis der Rahmenvereinbarung im Bereich Weiterentwicklung EuroDaT-Plattform bzw. safeAML erbracht werden, werden nach Aufwand auf Basis der hier vereinbarten T&amp;M-Preisen vergütet.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Die Skill Level des eingesetzten Personals werden bei Vergabe der Einzelaufträge bzw. bei der Zustimmung zum Personalaustausch durch die Auftraggeberin auf Basis der vereinbarten Definitionen festgelegt. Dabei ist zu berücksichtigen, dass die erforderlichen Kenntnisse für die jeweilige Stufe nach Los 1 und Los 2 differenziert ausfallen, die Tagessätze aber für Los 1 und Los 2 einheitlich vereinbart werden.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highlight w:val="yellow"/>
        </w:rPr>
      </w:pPr>
      <w:r w:rsidDel="00000000" w:rsidR="00000000" w:rsidRPr="00000000">
        <w:rPr>
          <w:highlight w:val="yellow"/>
          <w:rtl w:val="0"/>
        </w:rPr>
        <w:t xml:space="preserve">[Bearbeitungshinweis: Nachfolgende Tabelle ist durch Bieter als Teil des Angebots zu ergänzen.]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Tabelle 4: T&amp;M-Preis nach Skill Level</w:t>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Skill Level</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Tagessatz in EUR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Senior Software Architect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xxx,xx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Senior Software Developer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xxx,xx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Software Developer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xxx,xx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Junior Software Developer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xxx,xx</w:t>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tbl>
      <w:tblPr>
        <w:tblStyle w:val="Table5"/>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15"/>
        <w:tblGridChange w:id="0">
          <w:tblGrid>
            <w:gridCol w:w="9015"/>
          </w:tblGrid>
        </w:tblGridChange>
      </w:tblGrid>
      <w:tr>
        <w:trPr>
          <w:cantSplit w:val="0"/>
          <w:trHeight w:val="410.9252929687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83.68503937007875" w:type="dxa"/>
              <w:left w:w="-183.68503937007875" w:type="dxa"/>
              <w:bottom w:w="-183.68503937007875" w:type="dxa"/>
              <w:right w:w="-183.68503937007875" w:type="dxa"/>
            </w:tcMar>
            <w:vAlign w:val="top"/>
          </w:tcPr>
          <w:p w:rsidR="00000000" w:rsidDel="00000000" w:rsidP="00000000" w:rsidRDefault="00000000" w:rsidRPr="00000000" w14:paraId="00000043">
            <w:pPr>
              <w:spacing w:after="240" w:before="240" w:lineRule="auto"/>
              <w:rPr>
                <w:b w:val="1"/>
              </w:rPr>
            </w:pPr>
            <w:r w:rsidDel="00000000" w:rsidR="00000000" w:rsidRPr="00000000">
              <w:rPr>
                <w:b w:val="1"/>
                <w:rtl w:val="0"/>
              </w:rPr>
              <w:t xml:space="preserve">Name und Rechtsform der Bewerberin/Bieterin</w:t>
            </w:r>
          </w:p>
        </w:tc>
      </w:tr>
      <w:tr>
        <w:trPr>
          <w:cantSplit w:val="0"/>
          <w:trHeight w:val="349.228346456693" w:hRule="atLeast"/>
          <w:tblHeader w:val="0"/>
        </w:trPr>
        <w:tc>
          <w:tcPr>
            <w:tcBorders>
              <w:top w:color="000000" w:space="0" w:sz="0" w:val="nil"/>
              <w:left w:color="000000" w:space="0" w:sz="8" w:val="single"/>
              <w:bottom w:color="000000" w:space="0" w:sz="8" w:val="single"/>
              <w:right w:color="000000" w:space="0" w:sz="8" w:val="single"/>
            </w:tcBorders>
            <w:tcMar>
              <w:top w:w="-183.68503937007875" w:type="dxa"/>
              <w:left w:w="-183.68503937007875" w:type="dxa"/>
              <w:bottom w:w="-183.68503937007875" w:type="dxa"/>
              <w:right w:w="-183.68503937007875" w:type="dxa"/>
            </w:tcMar>
            <w:vAlign w:val="top"/>
          </w:tcPr>
          <w:p w:rsidR="00000000" w:rsidDel="00000000" w:rsidP="00000000" w:rsidRDefault="00000000" w:rsidRPr="00000000" w14:paraId="00000044">
            <w:pPr>
              <w:spacing w:after="240" w:before="240" w:lineRule="auto"/>
              <w:rPr/>
            </w:pPr>
            <w:r w:rsidDel="00000000" w:rsidR="00000000" w:rsidRPr="00000000">
              <w:rPr>
                <w:rtl w:val="0"/>
              </w:rPr>
              <w:t xml:space="preserve"> </w:t>
            </w:r>
          </w:p>
        </w:tc>
      </w:tr>
      <w:tr>
        <w:trPr>
          <w:cantSplit w:val="0"/>
          <w:trHeight w:val="349.228346456693"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83.68503937007875" w:type="dxa"/>
              <w:left w:w="-183.68503937007875" w:type="dxa"/>
              <w:bottom w:w="-183.68503937007875" w:type="dxa"/>
              <w:right w:w="-183.68503937007875" w:type="dxa"/>
            </w:tcMar>
            <w:vAlign w:val="top"/>
          </w:tcPr>
          <w:p w:rsidR="00000000" w:rsidDel="00000000" w:rsidP="00000000" w:rsidRDefault="00000000" w:rsidRPr="00000000" w14:paraId="00000045">
            <w:pPr>
              <w:spacing w:after="240" w:before="240" w:lineRule="auto"/>
              <w:rPr>
                <w:b w:val="1"/>
              </w:rPr>
            </w:pPr>
            <w:r w:rsidDel="00000000" w:rsidR="00000000" w:rsidRPr="00000000">
              <w:rPr>
                <w:b w:val="1"/>
                <w:rtl w:val="0"/>
              </w:rPr>
              <w:t xml:space="preserve">Name, Vorname und Funktion der:des Vertreters:in der Bewerberin/Bieterin</w:t>
            </w:r>
          </w:p>
        </w:tc>
      </w:tr>
      <w:tr>
        <w:trPr>
          <w:cantSplit w:val="0"/>
          <w:trHeight w:val="349.228346456693" w:hRule="atLeast"/>
          <w:tblHeader w:val="0"/>
        </w:trPr>
        <w:tc>
          <w:tcPr>
            <w:tcBorders>
              <w:top w:color="000000" w:space="0" w:sz="0" w:val="nil"/>
              <w:left w:color="000000" w:space="0" w:sz="8" w:val="single"/>
              <w:bottom w:color="000000" w:space="0" w:sz="8" w:val="single"/>
              <w:right w:color="000000" w:space="0" w:sz="8" w:val="single"/>
            </w:tcBorders>
            <w:tcMar>
              <w:top w:w="-183.68503937007875" w:type="dxa"/>
              <w:left w:w="-183.68503937007875" w:type="dxa"/>
              <w:bottom w:w="-183.68503937007875" w:type="dxa"/>
              <w:right w:w="-183.68503937007875" w:type="dxa"/>
            </w:tcMar>
            <w:vAlign w:val="top"/>
          </w:tcPr>
          <w:p w:rsidR="00000000" w:rsidDel="00000000" w:rsidP="00000000" w:rsidRDefault="00000000" w:rsidRPr="00000000" w14:paraId="00000046">
            <w:pPr>
              <w:spacing w:after="240" w:before="240" w:lineRule="auto"/>
              <w:rPr/>
            </w:pPr>
            <w:r w:rsidDel="00000000" w:rsidR="00000000" w:rsidRPr="00000000">
              <w:rPr>
                <w:rtl w:val="0"/>
              </w:rPr>
              <w:t xml:space="preserve"> </w:t>
            </w:r>
          </w:p>
        </w:tc>
      </w:tr>
      <w:tr>
        <w:trPr>
          <w:cantSplit w:val="0"/>
          <w:trHeight w:val="349.228346456693"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83.68503937007875" w:type="dxa"/>
              <w:left w:w="-183.68503937007875" w:type="dxa"/>
              <w:bottom w:w="-183.68503937007875" w:type="dxa"/>
              <w:right w:w="-183.68503937007875" w:type="dxa"/>
            </w:tcMar>
            <w:vAlign w:val="top"/>
          </w:tcPr>
          <w:p w:rsidR="00000000" w:rsidDel="00000000" w:rsidP="00000000" w:rsidRDefault="00000000" w:rsidRPr="00000000" w14:paraId="00000047">
            <w:pPr>
              <w:spacing w:after="240" w:before="240" w:lineRule="auto"/>
              <w:rPr>
                <w:b w:val="1"/>
              </w:rPr>
            </w:pPr>
            <w:r w:rsidDel="00000000" w:rsidR="00000000" w:rsidRPr="00000000">
              <w:rPr>
                <w:b w:val="1"/>
                <w:rtl w:val="0"/>
              </w:rPr>
              <w:t xml:space="preserve">Datum</w:t>
            </w:r>
          </w:p>
        </w:tc>
      </w:tr>
      <w:tr>
        <w:trPr>
          <w:cantSplit w:val="0"/>
          <w:trHeight w:val="349.228346456693" w:hRule="atLeast"/>
          <w:tblHeader w:val="0"/>
        </w:trPr>
        <w:tc>
          <w:tcPr>
            <w:tcBorders>
              <w:top w:color="000000" w:space="0" w:sz="0" w:val="nil"/>
              <w:left w:color="000000" w:space="0" w:sz="8" w:val="single"/>
              <w:bottom w:color="000000" w:space="0" w:sz="8" w:val="single"/>
              <w:right w:color="000000" w:space="0" w:sz="8" w:val="single"/>
            </w:tcBorders>
            <w:tcMar>
              <w:top w:w="-183.68503937007875" w:type="dxa"/>
              <w:left w:w="-183.68503937007875" w:type="dxa"/>
              <w:bottom w:w="-183.68503937007875" w:type="dxa"/>
              <w:right w:w="-183.68503937007875" w:type="dxa"/>
            </w:tcMar>
            <w:vAlign w:val="top"/>
          </w:tcPr>
          <w:p w:rsidR="00000000" w:rsidDel="00000000" w:rsidP="00000000" w:rsidRDefault="00000000" w:rsidRPr="00000000" w14:paraId="00000048">
            <w:pPr>
              <w:spacing w:after="240" w:before="240" w:lineRule="auto"/>
              <w:rPr/>
            </w:pPr>
            <w:r w:rsidDel="00000000" w:rsidR="00000000" w:rsidRPr="00000000">
              <w:rPr>
                <w:rtl w:val="0"/>
              </w:rPr>
              <w:t xml:space="preserve"> </w:t>
            </w:r>
          </w:p>
        </w:tc>
      </w:tr>
    </w:tbl>
    <w:p w:rsidR="00000000" w:rsidDel="00000000" w:rsidP="00000000" w:rsidRDefault="00000000" w:rsidRPr="00000000" w14:paraId="0000004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