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4595" w:type="dxa"/>
        <w:tblLook w:val="04A0" w:firstRow="1" w:lastRow="0" w:firstColumn="1" w:lastColumn="0" w:noHBand="0" w:noVBand="1"/>
      </w:tblPr>
      <w:tblGrid>
        <w:gridCol w:w="527"/>
        <w:gridCol w:w="2472"/>
        <w:gridCol w:w="4949"/>
        <w:gridCol w:w="1559"/>
        <w:gridCol w:w="5088"/>
      </w:tblGrid>
      <w:tr w:rsidR="002008FD" w:rsidRPr="005C2439" w14:paraId="4185D18E" w14:textId="77777777" w:rsidTr="002008FD">
        <w:trPr>
          <w:trHeight w:val="851"/>
          <w:tblHeader/>
        </w:trPr>
        <w:tc>
          <w:tcPr>
            <w:tcW w:w="527" w:type="dxa"/>
            <w:tcBorders>
              <w:bottom w:val="single" w:sz="4" w:space="0" w:color="auto"/>
            </w:tcBorders>
            <w:shd w:val="clear" w:color="auto" w:fill="E7E6E6" w:themeFill="background2"/>
            <w:vAlign w:val="center"/>
          </w:tcPr>
          <w:p w14:paraId="29967A9E" w14:textId="79004A6C" w:rsidR="00FB3ED1" w:rsidRPr="005C2439" w:rsidRDefault="00FB3ED1" w:rsidP="00FB3ED1">
            <w:pPr>
              <w:jc w:val="center"/>
              <w:rPr>
                <w:rFonts w:ascii="Open Sans" w:hAnsi="Open Sans" w:cs="Open Sans"/>
                <w:b/>
                <w:bCs/>
                <w:sz w:val="20"/>
                <w:szCs w:val="20"/>
              </w:rPr>
            </w:pPr>
            <w:r w:rsidRPr="005C2439">
              <w:rPr>
                <w:rFonts w:ascii="Open Sans" w:hAnsi="Open Sans" w:cs="Open Sans"/>
                <w:b/>
                <w:bCs/>
                <w:sz w:val="20"/>
                <w:szCs w:val="20"/>
              </w:rPr>
              <w:t>Nr.</w:t>
            </w:r>
          </w:p>
        </w:tc>
        <w:tc>
          <w:tcPr>
            <w:tcW w:w="2472" w:type="dxa"/>
            <w:tcBorders>
              <w:bottom w:val="single" w:sz="4" w:space="0" w:color="auto"/>
            </w:tcBorders>
            <w:shd w:val="clear" w:color="auto" w:fill="E7E6E6" w:themeFill="background2"/>
            <w:vAlign w:val="center"/>
          </w:tcPr>
          <w:p w14:paraId="08FE3390" w14:textId="77777777" w:rsidR="00FB3ED1" w:rsidRPr="005C2439" w:rsidRDefault="00FB3ED1" w:rsidP="00FB3ED1">
            <w:pPr>
              <w:jc w:val="center"/>
              <w:rPr>
                <w:rFonts w:ascii="Open Sans" w:hAnsi="Open Sans" w:cs="Open Sans"/>
                <w:b/>
                <w:bCs/>
                <w:sz w:val="20"/>
                <w:szCs w:val="20"/>
              </w:rPr>
            </w:pPr>
            <w:r w:rsidRPr="005C2439">
              <w:rPr>
                <w:rFonts w:ascii="Open Sans" w:hAnsi="Open Sans" w:cs="Open Sans"/>
                <w:b/>
                <w:bCs/>
                <w:sz w:val="20"/>
                <w:szCs w:val="20"/>
              </w:rPr>
              <w:t>Bezug</w:t>
            </w:r>
          </w:p>
          <w:p w14:paraId="34FAB997" w14:textId="493ADBDE" w:rsidR="00FB3ED1" w:rsidRPr="005C2439" w:rsidRDefault="00FB3ED1" w:rsidP="00FB3ED1">
            <w:pPr>
              <w:jc w:val="center"/>
              <w:rPr>
                <w:rFonts w:ascii="Open Sans" w:hAnsi="Open Sans" w:cs="Open Sans"/>
                <w:sz w:val="20"/>
                <w:szCs w:val="20"/>
              </w:rPr>
            </w:pPr>
            <w:r w:rsidRPr="005C2439">
              <w:rPr>
                <w:rFonts w:ascii="Open Sans" w:hAnsi="Open Sans" w:cs="Open Sans"/>
                <w:sz w:val="20"/>
                <w:szCs w:val="20"/>
              </w:rPr>
              <w:t>(Eintrag durch Bieter)</w:t>
            </w:r>
          </w:p>
        </w:tc>
        <w:tc>
          <w:tcPr>
            <w:tcW w:w="4949" w:type="dxa"/>
            <w:tcBorders>
              <w:bottom w:val="single" w:sz="4" w:space="0" w:color="auto"/>
            </w:tcBorders>
            <w:shd w:val="clear" w:color="auto" w:fill="E7E6E6" w:themeFill="background2"/>
            <w:vAlign w:val="center"/>
          </w:tcPr>
          <w:p w14:paraId="32D877E8" w14:textId="77777777" w:rsidR="00FB3ED1" w:rsidRPr="005C2439" w:rsidRDefault="00FB3ED1" w:rsidP="00FB3ED1">
            <w:pPr>
              <w:jc w:val="center"/>
              <w:rPr>
                <w:rFonts w:ascii="Open Sans" w:hAnsi="Open Sans" w:cs="Open Sans"/>
                <w:b/>
                <w:bCs/>
                <w:sz w:val="20"/>
                <w:szCs w:val="20"/>
              </w:rPr>
            </w:pPr>
            <w:r w:rsidRPr="005C2439">
              <w:rPr>
                <w:rFonts w:ascii="Open Sans" w:hAnsi="Open Sans" w:cs="Open Sans"/>
                <w:b/>
                <w:bCs/>
                <w:sz w:val="20"/>
                <w:szCs w:val="20"/>
              </w:rPr>
              <w:t>Fragetext</w:t>
            </w:r>
          </w:p>
          <w:p w14:paraId="5F057F96" w14:textId="5610FD5F" w:rsidR="00FB3ED1" w:rsidRPr="005C2439" w:rsidRDefault="00FB3ED1" w:rsidP="00FB3ED1">
            <w:pPr>
              <w:jc w:val="center"/>
              <w:rPr>
                <w:rFonts w:ascii="Open Sans" w:hAnsi="Open Sans" w:cs="Open Sans"/>
                <w:sz w:val="20"/>
                <w:szCs w:val="20"/>
              </w:rPr>
            </w:pPr>
            <w:r w:rsidRPr="005C2439">
              <w:rPr>
                <w:rFonts w:ascii="Open Sans" w:hAnsi="Open Sans" w:cs="Open Sans"/>
                <w:sz w:val="20"/>
                <w:szCs w:val="20"/>
              </w:rPr>
              <w:t>(Eintrag durch Bieter)</w:t>
            </w:r>
          </w:p>
        </w:tc>
        <w:tc>
          <w:tcPr>
            <w:tcW w:w="1559" w:type="dxa"/>
            <w:tcBorders>
              <w:bottom w:val="single" w:sz="4" w:space="0" w:color="auto"/>
            </w:tcBorders>
            <w:shd w:val="clear" w:color="auto" w:fill="E7E6E6" w:themeFill="background2"/>
            <w:vAlign w:val="center"/>
          </w:tcPr>
          <w:p w14:paraId="2D4AAAC9" w14:textId="5F6DBF15" w:rsidR="00FB3ED1" w:rsidRPr="005C2439" w:rsidRDefault="00FB3ED1" w:rsidP="00FB3ED1">
            <w:pPr>
              <w:jc w:val="center"/>
              <w:rPr>
                <w:rFonts w:ascii="Open Sans" w:hAnsi="Open Sans" w:cs="Open Sans"/>
                <w:b/>
                <w:bCs/>
                <w:sz w:val="20"/>
                <w:szCs w:val="20"/>
              </w:rPr>
            </w:pPr>
            <w:r w:rsidRPr="005C2439">
              <w:rPr>
                <w:rFonts w:ascii="Open Sans" w:hAnsi="Open Sans" w:cs="Open Sans"/>
                <w:b/>
                <w:bCs/>
                <w:sz w:val="20"/>
                <w:szCs w:val="20"/>
              </w:rPr>
              <w:t>Stand</w:t>
            </w:r>
          </w:p>
          <w:p w14:paraId="0CEABE0B" w14:textId="7F451A2C" w:rsidR="00FB3ED1" w:rsidRPr="005C2439" w:rsidRDefault="00FB3ED1" w:rsidP="00FB3ED1">
            <w:pPr>
              <w:jc w:val="center"/>
              <w:rPr>
                <w:rFonts w:ascii="Open Sans" w:hAnsi="Open Sans" w:cs="Open Sans"/>
                <w:sz w:val="20"/>
                <w:szCs w:val="20"/>
              </w:rPr>
            </w:pPr>
            <w:r w:rsidRPr="005C2439">
              <w:rPr>
                <w:rFonts w:ascii="Open Sans" w:hAnsi="Open Sans" w:cs="Open Sans"/>
                <w:sz w:val="20"/>
                <w:szCs w:val="20"/>
              </w:rPr>
              <w:t>(Eintrag durch Vergabestelle)</w:t>
            </w:r>
          </w:p>
        </w:tc>
        <w:tc>
          <w:tcPr>
            <w:tcW w:w="5088" w:type="dxa"/>
            <w:tcBorders>
              <w:bottom w:val="single" w:sz="4" w:space="0" w:color="auto"/>
            </w:tcBorders>
            <w:shd w:val="clear" w:color="auto" w:fill="E7E6E6" w:themeFill="background2"/>
            <w:vAlign w:val="center"/>
          </w:tcPr>
          <w:p w14:paraId="25F90EE1" w14:textId="77777777" w:rsidR="00FB3ED1" w:rsidRPr="005C2439" w:rsidRDefault="00FB3ED1" w:rsidP="00FB3ED1">
            <w:pPr>
              <w:jc w:val="center"/>
              <w:rPr>
                <w:rFonts w:ascii="Open Sans" w:hAnsi="Open Sans" w:cs="Open Sans"/>
                <w:b/>
                <w:bCs/>
                <w:sz w:val="20"/>
                <w:szCs w:val="20"/>
              </w:rPr>
            </w:pPr>
            <w:r w:rsidRPr="005C2439">
              <w:rPr>
                <w:rFonts w:ascii="Open Sans" w:hAnsi="Open Sans" w:cs="Open Sans"/>
                <w:b/>
                <w:bCs/>
                <w:sz w:val="20"/>
                <w:szCs w:val="20"/>
              </w:rPr>
              <w:t>Beantwortung</w:t>
            </w:r>
          </w:p>
          <w:p w14:paraId="248959C7" w14:textId="2778BCF9" w:rsidR="00FB3ED1" w:rsidRPr="005C2439" w:rsidRDefault="00FB3ED1" w:rsidP="00FB3ED1">
            <w:pPr>
              <w:jc w:val="center"/>
              <w:rPr>
                <w:rFonts w:ascii="Open Sans" w:hAnsi="Open Sans" w:cs="Open Sans"/>
                <w:sz w:val="20"/>
                <w:szCs w:val="20"/>
              </w:rPr>
            </w:pPr>
            <w:r w:rsidRPr="005C2439">
              <w:rPr>
                <w:rFonts w:ascii="Open Sans" w:hAnsi="Open Sans" w:cs="Open Sans"/>
                <w:sz w:val="20"/>
                <w:szCs w:val="20"/>
              </w:rPr>
              <w:t>(Eintrag durch Vergabestelle)</w:t>
            </w:r>
          </w:p>
        </w:tc>
      </w:tr>
      <w:tr w:rsidR="005C2439" w:rsidRPr="005C2439" w14:paraId="169416A1" w14:textId="77777777" w:rsidTr="002008FD">
        <w:trPr>
          <w:trHeight w:val="851"/>
        </w:trPr>
        <w:tc>
          <w:tcPr>
            <w:tcW w:w="527" w:type="dxa"/>
            <w:vAlign w:val="center"/>
          </w:tcPr>
          <w:p w14:paraId="45C4FF70" w14:textId="1B3412CA" w:rsidR="005C2439" w:rsidRPr="005C2439" w:rsidRDefault="005C2439" w:rsidP="005C2439">
            <w:pPr>
              <w:jc w:val="both"/>
              <w:rPr>
                <w:rFonts w:ascii="Open Sans" w:hAnsi="Open Sans" w:cs="Open Sans"/>
                <w:sz w:val="20"/>
                <w:szCs w:val="20"/>
              </w:rPr>
            </w:pPr>
            <w:r w:rsidRPr="005C2439">
              <w:rPr>
                <w:rFonts w:ascii="Open Sans" w:hAnsi="Open Sans" w:cs="Open Sans"/>
                <w:sz w:val="20"/>
                <w:szCs w:val="20"/>
              </w:rPr>
              <w:t>1</w:t>
            </w:r>
          </w:p>
        </w:tc>
        <w:tc>
          <w:tcPr>
            <w:tcW w:w="2472" w:type="dxa"/>
            <w:vAlign w:val="center"/>
          </w:tcPr>
          <w:p w14:paraId="1BD10598" w14:textId="77777777" w:rsidR="00D64599" w:rsidRDefault="00D64599" w:rsidP="005C2439">
            <w:pPr>
              <w:jc w:val="both"/>
              <w:rPr>
                <w:rFonts w:ascii="Open Sans" w:hAnsi="Open Sans" w:cs="Open Sans"/>
                <w:sz w:val="20"/>
                <w:szCs w:val="20"/>
              </w:rPr>
            </w:pPr>
            <w:r>
              <w:rPr>
                <w:rFonts w:ascii="Open Sans" w:hAnsi="Open Sans" w:cs="Open Sans"/>
                <w:sz w:val="20"/>
                <w:szCs w:val="20"/>
              </w:rPr>
              <w:t>Los 3,</w:t>
            </w:r>
          </w:p>
          <w:p w14:paraId="72F38FBA" w14:textId="03EC504B" w:rsidR="005C2439" w:rsidRPr="005C2439" w:rsidRDefault="00BB288C" w:rsidP="005C2439">
            <w:pPr>
              <w:jc w:val="both"/>
              <w:rPr>
                <w:rFonts w:ascii="Open Sans" w:hAnsi="Open Sans" w:cs="Open Sans"/>
                <w:sz w:val="20"/>
                <w:szCs w:val="20"/>
              </w:rPr>
            </w:pPr>
            <w:r>
              <w:rPr>
                <w:rFonts w:ascii="Open Sans" w:hAnsi="Open Sans" w:cs="Open Sans"/>
                <w:sz w:val="20"/>
                <w:szCs w:val="20"/>
              </w:rPr>
              <w:t>Leistungsverzeichnis, Schachtkopfhöhe</w:t>
            </w:r>
          </w:p>
        </w:tc>
        <w:tc>
          <w:tcPr>
            <w:tcW w:w="4949" w:type="dxa"/>
            <w:vAlign w:val="center"/>
          </w:tcPr>
          <w:p w14:paraId="23BF43EB" w14:textId="5F7D915C" w:rsidR="005C2439" w:rsidRPr="005C2439" w:rsidRDefault="00BB288C" w:rsidP="005C2439">
            <w:pPr>
              <w:rPr>
                <w:rFonts w:ascii="Open Sans" w:hAnsi="Open Sans" w:cs="Open Sans"/>
                <w:sz w:val="20"/>
                <w:szCs w:val="20"/>
              </w:rPr>
            </w:pPr>
            <w:r w:rsidRPr="00BB288C">
              <w:rPr>
                <w:rFonts w:ascii="Open Sans" w:hAnsi="Open Sans" w:cs="Open Sans"/>
                <w:sz w:val="20"/>
                <w:szCs w:val="20"/>
              </w:rPr>
              <w:t>Schachtkopfhöhe:</w:t>
            </w:r>
            <w:r w:rsidRPr="00BB288C">
              <w:rPr>
                <w:rFonts w:ascii="Open Sans" w:hAnsi="Open Sans" w:cs="Open Sans"/>
                <w:sz w:val="20"/>
                <w:szCs w:val="20"/>
              </w:rPr>
              <w:br/>
              <w:t xml:space="preserve">in Ihrer Ausschreibung wird eine Schachtkopfhöhe von 3,40 Metern gefordert. Laut AMEV-Vorgaben sind jedoch in öffentlichen Gebäuden verkürzte Schachtköpfe grundsätzlich nicht zulässig, auch nicht durch zusätzliche Sicherheitsmaßnahmen. Die geforderte Mindesthöhe beträgt dahingehend im Normalfall 3,50 Meter, um die Sicherheit gemäß den aktuellen Standards zu gewährleisten. Bei dieser Ausschreibung kann die Höhe von 3.500mm jedoch nicht Anwendung finden auf Grund der von Ihnen ausgeschriebenen Schachtbreite von 2.310mm sowie Schachttiefe von 2.100mm. Dadurch ist der Abstand vom Kabinendachgeländer zur Schachtwand gemäß EN81-20 zu hoch. Hier schreibt in diesem Fall die Norm ein höheres Kabinendachgeländer vor. Um dann nicht in einen verkürzten Schachtkopfbereich zu gelangen, wird hier ein Schachtkopf von 3.900mm erforderlich. Wenn die Schachtbreite z.B. auf circa 1.600mm und die Schachttiefe auf 1.750mm reduziert werden würde, könnte man von einem Schachtkopf von 3.500mm ausgehen, was dann nach AMEV zulässig wäre. (Es </w:t>
            </w:r>
            <w:proofErr w:type="gramStart"/>
            <w:r w:rsidRPr="00BB288C">
              <w:rPr>
                <w:rFonts w:ascii="Open Sans" w:hAnsi="Open Sans" w:cs="Open Sans"/>
                <w:sz w:val="20"/>
                <w:szCs w:val="20"/>
              </w:rPr>
              <w:t>gab übrigens</w:t>
            </w:r>
            <w:proofErr w:type="gramEnd"/>
            <w:r w:rsidRPr="00BB288C">
              <w:rPr>
                <w:rFonts w:ascii="Open Sans" w:hAnsi="Open Sans" w:cs="Open Sans"/>
                <w:sz w:val="20"/>
                <w:szCs w:val="20"/>
              </w:rPr>
              <w:t xml:space="preserve"> bereits öffentliche Bauvorhaben, wo nach Gesamtfertigstellung des Gebäudes der Schachtkopf auf Anordnung </w:t>
            </w:r>
            <w:r w:rsidRPr="00BB288C">
              <w:rPr>
                <w:rFonts w:ascii="Open Sans" w:hAnsi="Open Sans" w:cs="Open Sans"/>
                <w:sz w:val="20"/>
                <w:szCs w:val="20"/>
              </w:rPr>
              <w:lastRenderedPageBreak/>
              <w:t>angehoben werden musste. Zulässig sind Verkürzungen laut AMEV nur bei Sanierungen, Erweiterungsbauten bei bestehenden Objekten.).</w:t>
            </w:r>
            <w:r w:rsidRPr="00BB288C">
              <w:rPr>
                <w:rFonts w:ascii="Open Sans" w:hAnsi="Open Sans" w:cs="Open Sans"/>
                <w:sz w:val="20"/>
                <w:szCs w:val="20"/>
              </w:rPr>
              <w:br/>
            </w:r>
            <w:proofErr w:type="gramStart"/>
            <w:r w:rsidRPr="00BB288C">
              <w:rPr>
                <w:rFonts w:ascii="Open Sans" w:hAnsi="Open Sans" w:cs="Open Sans"/>
                <w:sz w:val="20"/>
                <w:szCs w:val="20"/>
              </w:rPr>
              <w:t>Hier</w:t>
            </w:r>
            <w:proofErr w:type="gramEnd"/>
            <w:r w:rsidRPr="00BB288C">
              <w:rPr>
                <w:rFonts w:ascii="Open Sans" w:hAnsi="Open Sans" w:cs="Open Sans"/>
                <w:sz w:val="20"/>
                <w:szCs w:val="20"/>
              </w:rPr>
              <w:t xml:space="preserve"> könnten sonst ggf. hohe Folgekosten entstehen... Wie soll hier verfahren werden?</w:t>
            </w:r>
          </w:p>
        </w:tc>
        <w:tc>
          <w:tcPr>
            <w:tcW w:w="1559" w:type="dxa"/>
            <w:vAlign w:val="center"/>
          </w:tcPr>
          <w:p w14:paraId="31885723" w14:textId="01413482" w:rsidR="005C2439" w:rsidRPr="005C2439" w:rsidRDefault="00BB288C" w:rsidP="005C2439">
            <w:pPr>
              <w:jc w:val="both"/>
              <w:rPr>
                <w:rFonts w:ascii="Open Sans" w:hAnsi="Open Sans" w:cs="Open Sans"/>
                <w:sz w:val="20"/>
                <w:szCs w:val="20"/>
              </w:rPr>
            </w:pPr>
            <w:r>
              <w:rPr>
                <w:rFonts w:ascii="Open Sans" w:hAnsi="Open Sans" w:cs="Open Sans"/>
                <w:sz w:val="20"/>
                <w:szCs w:val="20"/>
              </w:rPr>
              <w:lastRenderedPageBreak/>
              <w:t>11.10.2024</w:t>
            </w:r>
          </w:p>
        </w:tc>
        <w:tc>
          <w:tcPr>
            <w:tcW w:w="5088" w:type="dxa"/>
            <w:vAlign w:val="center"/>
          </w:tcPr>
          <w:p w14:paraId="7905BEA2" w14:textId="77777777" w:rsidR="005C2439" w:rsidRPr="00710E1B" w:rsidRDefault="00BB288C" w:rsidP="005C2439">
            <w:pPr>
              <w:rPr>
                <w:rFonts w:ascii="Open Sans" w:hAnsi="Open Sans" w:cs="Open Sans"/>
                <w:color w:val="FF0000"/>
                <w:sz w:val="20"/>
                <w:szCs w:val="20"/>
              </w:rPr>
            </w:pPr>
            <w:r w:rsidRPr="00710E1B">
              <w:rPr>
                <w:rFonts w:ascii="Open Sans" w:hAnsi="Open Sans" w:cs="Open Sans"/>
                <w:color w:val="FF0000"/>
                <w:sz w:val="20"/>
                <w:szCs w:val="20"/>
              </w:rPr>
              <w:t xml:space="preserve">Die AMEV sind lediglich Hinweise zur Planung und besitzen keinen Gesetzescharakter. Die darin enthaltenen Vorgaben sind daher für den Auftraggeber nicht bindend. </w:t>
            </w:r>
          </w:p>
          <w:p w14:paraId="36965C26" w14:textId="77777777" w:rsidR="006757B2" w:rsidRPr="00710E1B" w:rsidRDefault="006757B2" w:rsidP="005C2439">
            <w:pPr>
              <w:rPr>
                <w:rFonts w:ascii="Open Sans" w:hAnsi="Open Sans" w:cs="Open Sans"/>
                <w:color w:val="FF0000"/>
                <w:sz w:val="20"/>
                <w:szCs w:val="20"/>
              </w:rPr>
            </w:pPr>
          </w:p>
          <w:p w14:paraId="31030332" w14:textId="207CFC08" w:rsidR="006757B2" w:rsidRPr="00710E1B" w:rsidRDefault="006757B2" w:rsidP="005C2439">
            <w:pPr>
              <w:rPr>
                <w:rFonts w:ascii="Open Sans" w:hAnsi="Open Sans" w:cs="Open Sans"/>
                <w:color w:val="FF0000"/>
                <w:sz w:val="20"/>
                <w:szCs w:val="20"/>
              </w:rPr>
            </w:pPr>
            <w:r w:rsidRPr="00710E1B">
              <w:rPr>
                <w:rFonts w:ascii="Open Sans" w:hAnsi="Open Sans" w:cs="Open Sans"/>
                <w:color w:val="FF0000"/>
                <w:sz w:val="20"/>
                <w:szCs w:val="20"/>
              </w:rPr>
              <w:t>D</w:t>
            </w:r>
            <w:r w:rsidR="004314AB" w:rsidRPr="00710E1B">
              <w:rPr>
                <w:rFonts w:ascii="Open Sans" w:hAnsi="Open Sans" w:cs="Open Sans"/>
                <w:color w:val="FF0000"/>
                <w:sz w:val="20"/>
                <w:szCs w:val="20"/>
              </w:rPr>
              <w:t>ie</w:t>
            </w:r>
            <w:r w:rsidRPr="00710E1B">
              <w:rPr>
                <w:rFonts w:ascii="Open Sans" w:hAnsi="Open Sans" w:cs="Open Sans"/>
                <w:color w:val="FF0000"/>
                <w:sz w:val="20"/>
                <w:szCs w:val="20"/>
              </w:rPr>
              <w:t xml:space="preserve"> erforderliche Schutzraum</w:t>
            </w:r>
            <w:r w:rsidR="004314AB" w:rsidRPr="00710E1B">
              <w:rPr>
                <w:rFonts w:ascii="Open Sans" w:hAnsi="Open Sans" w:cs="Open Sans"/>
                <w:color w:val="FF0000"/>
                <w:sz w:val="20"/>
                <w:szCs w:val="20"/>
              </w:rPr>
              <w:t>höhe</w:t>
            </w:r>
            <w:r w:rsidRPr="00710E1B">
              <w:rPr>
                <w:rFonts w:ascii="Open Sans" w:hAnsi="Open Sans" w:cs="Open Sans"/>
                <w:color w:val="FF0000"/>
                <w:sz w:val="20"/>
                <w:szCs w:val="20"/>
              </w:rPr>
              <w:t xml:space="preserve"> gemäß </w:t>
            </w:r>
            <w:r w:rsidR="004314AB" w:rsidRPr="00710E1B">
              <w:rPr>
                <w:rFonts w:ascii="Open Sans" w:hAnsi="Open Sans" w:cs="Open Sans"/>
                <w:color w:val="FF0000"/>
                <w:sz w:val="20"/>
                <w:szCs w:val="20"/>
              </w:rPr>
              <w:t xml:space="preserve">DIN EN 81-20 </w:t>
            </w:r>
            <w:r w:rsidRPr="00710E1B">
              <w:rPr>
                <w:rFonts w:ascii="Open Sans" w:hAnsi="Open Sans" w:cs="Open Sans"/>
                <w:color w:val="FF0000"/>
                <w:sz w:val="20"/>
                <w:szCs w:val="20"/>
              </w:rPr>
              <w:t xml:space="preserve">wird eingehalten. </w:t>
            </w:r>
          </w:p>
          <w:p w14:paraId="047EA8C0" w14:textId="77777777" w:rsidR="00BB288C" w:rsidRPr="00710E1B" w:rsidRDefault="00BB288C" w:rsidP="005C2439">
            <w:pPr>
              <w:rPr>
                <w:rFonts w:ascii="Open Sans" w:hAnsi="Open Sans" w:cs="Open Sans"/>
                <w:color w:val="FF0000"/>
                <w:sz w:val="20"/>
                <w:szCs w:val="20"/>
              </w:rPr>
            </w:pPr>
          </w:p>
          <w:p w14:paraId="54EBBB14" w14:textId="77777777" w:rsidR="00BB288C" w:rsidRDefault="00BB288C" w:rsidP="005C2439">
            <w:pPr>
              <w:rPr>
                <w:rFonts w:ascii="Open Sans" w:hAnsi="Open Sans" w:cs="Open Sans"/>
                <w:color w:val="FF0000"/>
                <w:sz w:val="20"/>
                <w:szCs w:val="20"/>
              </w:rPr>
            </w:pPr>
            <w:r w:rsidRPr="00710E1B">
              <w:rPr>
                <w:rFonts w:ascii="Open Sans" w:hAnsi="Open Sans" w:cs="Open Sans"/>
                <w:color w:val="FF0000"/>
                <w:sz w:val="20"/>
                <w:szCs w:val="20"/>
              </w:rPr>
              <w:t xml:space="preserve">Die Schachtkopfhöhe ist </w:t>
            </w:r>
            <w:r w:rsidR="006757B2" w:rsidRPr="00710E1B">
              <w:rPr>
                <w:rFonts w:ascii="Open Sans" w:hAnsi="Open Sans" w:cs="Open Sans"/>
                <w:color w:val="FF0000"/>
                <w:sz w:val="20"/>
                <w:szCs w:val="20"/>
              </w:rPr>
              <w:t xml:space="preserve">daher </w:t>
            </w:r>
            <w:r w:rsidRPr="00710E1B">
              <w:rPr>
                <w:rFonts w:ascii="Open Sans" w:hAnsi="Open Sans" w:cs="Open Sans"/>
                <w:color w:val="FF0000"/>
                <w:sz w:val="20"/>
                <w:szCs w:val="20"/>
              </w:rPr>
              <w:t>ausreichend bemessen</w:t>
            </w:r>
            <w:r w:rsidR="006757B2" w:rsidRPr="00710E1B">
              <w:rPr>
                <w:rFonts w:ascii="Open Sans" w:hAnsi="Open Sans" w:cs="Open Sans"/>
                <w:color w:val="FF0000"/>
                <w:sz w:val="20"/>
                <w:szCs w:val="20"/>
              </w:rPr>
              <w:t xml:space="preserve"> und bleibt unverändert</w:t>
            </w:r>
            <w:r w:rsidRPr="00710E1B">
              <w:rPr>
                <w:rFonts w:ascii="Open Sans" w:hAnsi="Open Sans" w:cs="Open Sans"/>
                <w:color w:val="FF0000"/>
                <w:sz w:val="20"/>
                <w:szCs w:val="20"/>
              </w:rPr>
              <w:t xml:space="preserve">. </w:t>
            </w:r>
          </w:p>
          <w:p w14:paraId="068675F7" w14:textId="77777777" w:rsidR="00D64599" w:rsidRDefault="00D64599" w:rsidP="005C2439">
            <w:pPr>
              <w:rPr>
                <w:rFonts w:ascii="Open Sans" w:hAnsi="Open Sans" w:cs="Open Sans"/>
                <w:color w:val="FF0000"/>
                <w:sz w:val="20"/>
                <w:szCs w:val="20"/>
              </w:rPr>
            </w:pPr>
          </w:p>
          <w:p w14:paraId="33259E87" w14:textId="77777777" w:rsidR="00D64599" w:rsidRPr="00D64599" w:rsidRDefault="00D64599" w:rsidP="00D64599">
            <w:pPr>
              <w:rPr>
                <w:rFonts w:ascii="Open Sans" w:hAnsi="Open Sans" w:cs="Open Sans"/>
                <w:color w:val="FF0000"/>
                <w:sz w:val="20"/>
                <w:szCs w:val="20"/>
              </w:rPr>
            </w:pPr>
            <w:r w:rsidRPr="00D64599">
              <w:rPr>
                <w:rFonts w:ascii="Open Sans" w:hAnsi="Open Sans" w:cs="Open Sans"/>
                <w:color w:val="FF0000"/>
                <w:sz w:val="20"/>
                <w:szCs w:val="20"/>
              </w:rPr>
              <w:t>Wir weisen in diesem Zusammenhang auf folgendes hin: Die notwendige Höhe des Geländers (mindestens 900 mm hoch gemäß den Vorgaben im Leistungsverzeichnis) ist in Abhängigkeit zu dem angebotenen Aufzugssystem zu beachten.</w:t>
            </w:r>
          </w:p>
          <w:p w14:paraId="56839F52" w14:textId="00A17BF1" w:rsidR="00D64599" w:rsidRPr="005C2439" w:rsidRDefault="00D64599" w:rsidP="005C2439">
            <w:pPr>
              <w:rPr>
                <w:rFonts w:ascii="Open Sans" w:hAnsi="Open Sans" w:cs="Open Sans"/>
                <w:sz w:val="20"/>
                <w:szCs w:val="20"/>
              </w:rPr>
            </w:pPr>
          </w:p>
        </w:tc>
      </w:tr>
      <w:tr w:rsidR="005C2439" w:rsidRPr="005C2439" w14:paraId="5D9E2E8A" w14:textId="77777777" w:rsidTr="002008FD">
        <w:trPr>
          <w:trHeight w:val="851"/>
        </w:trPr>
        <w:tc>
          <w:tcPr>
            <w:tcW w:w="527" w:type="dxa"/>
            <w:vAlign w:val="center"/>
          </w:tcPr>
          <w:p w14:paraId="4A34E226" w14:textId="37C1851B" w:rsidR="005C2439" w:rsidRPr="005C2439" w:rsidRDefault="005C2439" w:rsidP="005C2439">
            <w:pPr>
              <w:jc w:val="both"/>
              <w:rPr>
                <w:rFonts w:ascii="Open Sans" w:hAnsi="Open Sans" w:cs="Open Sans"/>
                <w:sz w:val="20"/>
                <w:szCs w:val="20"/>
              </w:rPr>
            </w:pPr>
            <w:r w:rsidRPr="005C2439">
              <w:rPr>
                <w:rFonts w:ascii="Open Sans" w:hAnsi="Open Sans" w:cs="Open Sans"/>
                <w:sz w:val="20"/>
                <w:szCs w:val="20"/>
              </w:rPr>
              <w:t>2</w:t>
            </w:r>
          </w:p>
        </w:tc>
        <w:tc>
          <w:tcPr>
            <w:tcW w:w="2472" w:type="dxa"/>
            <w:vAlign w:val="center"/>
          </w:tcPr>
          <w:p w14:paraId="215E9606" w14:textId="77777777" w:rsidR="00D64599" w:rsidRDefault="00D64599" w:rsidP="00D64599">
            <w:pPr>
              <w:jc w:val="both"/>
              <w:rPr>
                <w:rFonts w:ascii="Open Sans" w:hAnsi="Open Sans" w:cs="Open Sans"/>
                <w:sz w:val="20"/>
                <w:szCs w:val="20"/>
              </w:rPr>
            </w:pPr>
            <w:r>
              <w:rPr>
                <w:rFonts w:ascii="Open Sans" w:hAnsi="Open Sans" w:cs="Open Sans"/>
                <w:sz w:val="20"/>
                <w:szCs w:val="20"/>
              </w:rPr>
              <w:t>Los 3,</w:t>
            </w:r>
          </w:p>
          <w:p w14:paraId="48821A94" w14:textId="6F2BEC1E" w:rsidR="005C2439" w:rsidRPr="005C2439" w:rsidRDefault="006757B2" w:rsidP="005C2439">
            <w:pPr>
              <w:jc w:val="both"/>
              <w:rPr>
                <w:rFonts w:ascii="Open Sans" w:hAnsi="Open Sans" w:cs="Open Sans"/>
                <w:sz w:val="20"/>
                <w:szCs w:val="20"/>
              </w:rPr>
            </w:pPr>
            <w:r>
              <w:rPr>
                <w:rFonts w:ascii="Open Sans" w:hAnsi="Open Sans" w:cs="Open Sans"/>
                <w:sz w:val="20"/>
                <w:szCs w:val="20"/>
              </w:rPr>
              <w:t xml:space="preserve">Leistungsverzeichnis, </w:t>
            </w:r>
            <w:r w:rsidRPr="006757B2">
              <w:rPr>
                <w:rFonts w:ascii="Open Sans" w:hAnsi="Open Sans" w:cs="Open Sans"/>
                <w:sz w:val="20"/>
                <w:szCs w:val="20"/>
              </w:rPr>
              <w:t>Allgemeine Schachtmaße und Einbauteile</w:t>
            </w:r>
          </w:p>
        </w:tc>
        <w:tc>
          <w:tcPr>
            <w:tcW w:w="4949" w:type="dxa"/>
            <w:vAlign w:val="center"/>
          </w:tcPr>
          <w:p w14:paraId="5F270322" w14:textId="705CE2CD" w:rsidR="005C2439" w:rsidRPr="005C2439" w:rsidRDefault="006757B2" w:rsidP="005C2439">
            <w:pPr>
              <w:rPr>
                <w:rFonts w:ascii="Open Sans" w:hAnsi="Open Sans" w:cs="Open Sans"/>
                <w:sz w:val="20"/>
                <w:szCs w:val="20"/>
              </w:rPr>
            </w:pPr>
            <w:r w:rsidRPr="006757B2">
              <w:rPr>
                <w:rFonts w:ascii="Open Sans" w:hAnsi="Open Sans" w:cs="Open Sans"/>
                <w:bCs/>
                <w:sz w:val="20"/>
                <w:szCs w:val="20"/>
              </w:rPr>
              <w:t>Allgemeine Schachtmaße und Einbauteile</w:t>
            </w:r>
            <w:r w:rsidRPr="006757B2">
              <w:rPr>
                <w:rFonts w:ascii="Open Sans" w:hAnsi="Open Sans" w:cs="Open Sans"/>
                <w:sz w:val="20"/>
                <w:szCs w:val="20"/>
              </w:rPr>
              <w:t>: Sind die Schachtmaße: Breite, Tiefe sowie Kopf und Grube (siehe auch oben</w:t>
            </w:r>
            <w:r>
              <w:rPr>
                <w:rFonts w:ascii="Open Sans" w:hAnsi="Open Sans" w:cs="Open Sans"/>
                <w:sz w:val="20"/>
                <w:szCs w:val="20"/>
              </w:rPr>
              <w:t xml:space="preserve"> [</w:t>
            </w:r>
            <w:r w:rsidRPr="006757B2">
              <w:rPr>
                <w:rFonts w:ascii="Open Sans" w:hAnsi="Open Sans" w:cs="Open Sans"/>
                <w:i/>
                <w:sz w:val="20"/>
                <w:szCs w:val="20"/>
              </w:rPr>
              <w:t>Anm. AG: Frage 1</w:t>
            </w:r>
            <w:r>
              <w:rPr>
                <w:rFonts w:ascii="Open Sans" w:hAnsi="Open Sans" w:cs="Open Sans"/>
                <w:sz w:val="20"/>
                <w:szCs w:val="20"/>
              </w:rPr>
              <w:t>]</w:t>
            </w:r>
            <w:r w:rsidRPr="006757B2">
              <w:rPr>
                <w:rFonts w:ascii="Open Sans" w:hAnsi="Open Sans" w:cs="Open Sans"/>
                <w:sz w:val="20"/>
                <w:szCs w:val="20"/>
              </w:rPr>
              <w:t>) noch veränderlich? Werden die Einbauteile nach Planung des AN übernommen? </w:t>
            </w:r>
          </w:p>
        </w:tc>
        <w:tc>
          <w:tcPr>
            <w:tcW w:w="1559" w:type="dxa"/>
            <w:vAlign w:val="center"/>
          </w:tcPr>
          <w:p w14:paraId="69D4A677" w14:textId="4B0B4E80" w:rsidR="005C2439" w:rsidRPr="005C2439" w:rsidRDefault="006757B2" w:rsidP="005C2439">
            <w:pPr>
              <w:jc w:val="both"/>
              <w:rPr>
                <w:rFonts w:ascii="Open Sans" w:hAnsi="Open Sans" w:cs="Open Sans"/>
                <w:sz w:val="20"/>
                <w:szCs w:val="20"/>
              </w:rPr>
            </w:pPr>
            <w:r>
              <w:rPr>
                <w:rFonts w:ascii="Open Sans" w:hAnsi="Open Sans" w:cs="Open Sans"/>
                <w:sz w:val="20"/>
                <w:szCs w:val="20"/>
              </w:rPr>
              <w:t>11.10.2024</w:t>
            </w:r>
          </w:p>
        </w:tc>
        <w:tc>
          <w:tcPr>
            <w:tcW w:w="5088" w:type="dxa"/>
            <w:vAlign w:val="center"/>
          </w:tcPr>
          <w:p w14:paraId="1E031B31" w14:textId="11CE2BA1" w:rsidR="005C2439" w:rsidRPr="00710E1B" w:rsidRDefault="006757B2" w:rsidP="005C2439">
            <w:pPr>
              <w:rPr>
                <w:rFonts w:ascii="Open Sans" w:hAnsi="Open Sans" w:cs="Open Sans"/>
                <w:color w:val="FF0000"/>
                <w:sz w:val="20"/>
                <w:szCs w:val="20"/>
              </w:rPr>
            </w:pPr>
            <w:r w:rsidRPr="00710E1B">
              <w:rPr>
                <w:rFonts w:ascii="Open Sans" w:hAnsi="Open Sans" w:cs="Open Sans"/>
                <w:color w:val="FF0000"/>
                <w:sz w:val="20"/>
                <w:szCs w:val="20"/>
              </w:rPr>
              <w:t xml:space="preserve">Die Schachtmaße sind nicht veränderlich. </w:t>
            </w:r>
          </w:p>
        </w:tc>
      </w:tr>
      <w:tr w:rsidR="005C2439" w:rsidRPr="005C2439" w14:paraId="5DBEB0A4" w14:textId="77777777" w:rsidTr="002008FD">
        <w:trPr>
          <w:trHeight w:val="851"/>
        </w:trPr>
        <w:tc>
          <w:tcPr>
            <w:tcW w:w="527" w:type="dxa"/>
            <w:vAlign w:val="center"/>
          </w:tcPr>
          <w:p w14:paraId="186C3AAD" w14:textId="161C3FB8" w:rsidR="005C2439" w:rsidRPr="005C2439" w:rsidRDefault="005C2439" w:rsidP="005C2439">
            <w:pPr>
              <w:jc w:val="both"/>
              <w:rPr>
                <w:rFonts w:ascii="Open Sans" w:hAnsi="Open Sans" w:cs="Open Sans"/>
                <w:sz w:val="20"/>
                <w:szCs w:val="20"/>
              </w:rPr>
            </w:pPr>
            <w:r w:rsidRPr="005C2439">
              <w:rPr>
                <w:rFonts w:ascii="Open Sans" w:hAnsi="Open Sans" w:cs="Open Sans"/>
                <w:sz w:val="20"/>
                <w:szCs w:val="20"/>
              </w:rPr>
              <w:t>3</w:t>
            </w:r>
          </w:p>
        </w:tc>
        <w:tc>
          <w:tcPr>
            <w:tcW w:w="2472" w:type="dxa"/>
            <w:vAlign w:val="center"/>
          </w:tcPr>
          <w:p w14:paraId="44AE2465" w14:textId="77777777" w:rsidR="00D64599" w:rsidRDefault="00D64599" w:rsidP="00D64599">
            <w:pPr>
              <w:jc w:val="both"/>
              <w:rPr>
                <w:rFonts w:ascii="Open Sans" w:hAnsi="Open Sans" w:cs="Open Sans"/>
                <w:sz w:val="20"/>
                <w:szCs w:val="20"/>
              </w:rPr>
            </w:pPr>
            <w:r>
              <w:rPr>
                <w:rFonts w:ascii="Open Sans" w:hAnsi="Open Sans" w:cs="Open Sans"/>
                <w:sz w:val="20"/>
                <w:szCs w:val="20"/>
              </w:rPr>
              <w:t>Los 3,</w:t>
            </w:r>
          </w:p>
          <w:p w14:paraId="08C4BD91" w14:textId="19A32C60" w:rsidR="005C2439" w:rsidRPr="005C2439" w:rsidRDefault="006757B2" w:rsidP="005C2439">
            <w:pPr>
              <w:jc w:val="both"/>
              <w:rPr>
                <w:rFonts w:ascii="Open Sans" w:hAnsi="Open Sans" w:cs="Open Sans"/>
                <w:sz w:val="20"/>
                <w:szCs w:val="20"/>
              </w:rPr>
            </w:pPr>
            <w:r>
              <w:rPr>
                <w:rFonts w:ascii="Open Sans" w:hAnsi="Open Sans" w:cs="Open Sans"/>
                <w:sz w:val="20"/>
                <w:szCs w:val="20"/>
              </w:rPr>
              <w:t xml:space="preserve">Leistungsverzeichnis, </w:t>
            </w:r>
            <w:proofErr w:type="spellStart"/>
            <w:r>
              <w:rPr>
                <w:rFonts w:ascii="Open Sans" w:hAnsi="Open Sans" w:cs="Open Sans"/>
                <w:sz w:val="20"/>
                <w:szCs w:val="20"/>
              </w:rPr>
              <w:t>Türarten</w:t>
            </w:r>
            <w:proofErr w:type="spellEnd"/>
          </w:p>
        </w:tc>
        <w:tc>
          <w:tcPr>
            <w:tcW w:w="4949" w:type="dxa"/>
            <w:vAlign w:val="center"/>
          </w:tcPr>
          <w:p w14:paraId="5F0938AC" w14:textId="20E2404D" w:rsidR="005C2439" w:rsidRPr="005C2439" w:rsidRDefault="006757B2" w:rsidP="005C2439">
            <w:pPr>
              <w:rPr>
                <w:rFonts w:ascii="Open Sans" w:hAnsi="Open Sans" w:cs="Open Sans"/>
                <w:sz w:val="20"/>
                <w:szCs w:val="20"/>
              </w:rPr>
            </w:pPr>
            <w:proofErr w:type="spellStart"/>
            <w:r w:rsidRPr="006D0FC9">
              <w:rPr>
                <w:rFonts w:ascii="Open Sans" w:hAnsi="Open Sans" w:cs="Open Sans"/>
                <w:bCs/>
                <w:sz w:val="20"/>
                <w:szCs w:val="20"/>
              </w:rPr>
              <w:t>Türarten</w:t>
            </w:r>
            <w:proofErr w:type="spellEnd"/>
            <w:r w:rsidRPr="006757B2">
              <w:rPr>
                <w:rFonts w:ascii="Open Sans" w:hAnsi="Open Sans" w:cs="Open Sans"/>
                <w:sz w:val="20"/>
                <w:szCs w:val="20"/>
              </w:rPr>
              <w:t xml:space="preserve">: Es sind im </w:t>
            </w:r>
            <w:proofErr w:type="gramStart"/>
            <w:r w:rsidRPr="006757B2">
              <w:rPr>
                <w:rFonts w:ascii="Open Sans" w:hAnsi="Open Sans" w:cs="Open Sans"/>
                <w:sz w:val="20"/>
                <w:szCs w:val="20"/>
              </w:rPr>
              <w:t>LV</w:t>
            </w:r>
            <w:proofErr w:type="gramEnd"/>
            <w:r w:rsidRPr="006757B2">
              <w:rPr>
                <w:rFonts w:ascii="Open Sans" w:hAnsi="Open Sans" w:cs="Open Sans"/>
                <w:sz w:val="20"/>
                <w:szCs w:val="20"/>
              </w:rPr>
              <w:t xml:space="preserve"> S.6 dreiteilige Türen ausgeschrieben. Dreiteilige Türen wählt man nur bei sehr schmalen Schächten. Hier haben wir einen </w:t>
            </w:r>
            <w:proofErr w:type="gramStart"/>
            <w:r w:rsidRPr="006757B2">
              <w:rPr>
                <w:rFonts w:ascii="Open Sans" w:hAnsi="Open Sans" w:cs="Open Sans"/>
                <w:sz w:val="20"/>
                <w:szCs w:val="20"/>
              </w:rPr>
              <w:t>extrem breiten</w:t>
            </w:r>
            <w:proofErr w:type="gramEnd"/>
            <w:r w:rsidRPr="006757B2">
              <w:rPr>
                <w:rFonts w:ascii="Open Sans" w:hAnsi="Open Sans" w:cs="Open Sans"/>
                <w:sz w:val="20"/>
                <w:szCs w:val="20"/>
              </w:rPr>
              <w:t xml:space="preserve"> Schacht. In der Regel verzichtet man auf zu viele Teile als notwendig bei Teleskoptüren, da mehr bewegliche Teile, die gewartet und repariert werden müssen. Kann hier von marktüblichen, zweiteiligen Türen ausgegangen werden? </w:t>
            </w:r>
          </w:p>
        </w:tc>
        <w:tc>
          <w:tcPr>
            <w:tcW w:w="1559" w:type="dxa"/>
            <w:vAlign w:val="center"/>
          </w:tcPr>
          <w:p w14:paraId="0B13D0D3" w14:textId="33951DE9" w:rsidR="005C2439" w:rsidRPr="005C2439" w:rsidRDefault="006757B2" w:rsidP="005C2439">
            <w:pPr>
              <w:jc w:val="both"/>
              <w:rPr>
                <w:rFonts w:ascii="Open Sans" w:hAnsi="Open Sans" w:cs="Open Sans"/>
                <w:sz w:val="20"/>
                <w:szCs w:val="20"/>
              </w:rPr>
            </w:pPr>
            <w:r>
              <w:rPr>
                <w:rFonts w:ascii="Open Sans" w:hAnsi="Open Sans" w:cs="Open Sans"/>
                <w:sz w:val="20"/>
                <w:szCs w:val="20"/>
              </w:rPr>
              <w:t>11.10.2024</w:t>
            </w:r>
          </w:p>
        </w:tc>
        <w:tc>
          <w:tcPr>
            <w:tcW w:w="5088" w:type="dxa"/>
            <w:vAlign w:val="center"/>
          </w:tcPr>
          <w:p w14:paraId="123ED731" w14:textId="5EDD2290" w:rsidR="005C2439" w:rsidRPr="00710E1B" w:rsidRDefault="006757B2" w:rsidP="005C2439">
            <w:pPr>
              <w:rPr>
                <w:rFonts w:ascii="Open Sans" w:hAnsi="Open Sans" w:cs="Open Sans"/>
                <w:color w:val="FF0000"/>
                <w:sz w:val="20"/>
                <w:szCs w:val="20"/>
              </w:rPr>
            </w:pPr>
            <w:r w:rsidRPr="00710E1B">
              <w:rPr>
                <w:rFonts w:ascii="Open Sans" w:hAnsi="Open Sans" w:cs="Open Sans"/>
                <w:color w:val="FF0000"/>
                <w:sz w:val="20"/>
                <w:szCs w:val="20"/>
              </w:rPr>
              <w:t xml:space="preserve">In Abweichung von den Vorgaben im Leistungsverzeichnis ist </w:t>
            </w:r>
            <w:r w:rsidR="006D0FC9" w:rsidRPr="00710E1B">
              <w:rPr>
                <w:rFonts w:ascii="Open Sans" w:hAnsi="Open Sans" w:cs="Open Sans"/>
                <w:color w:val="FF0000"/>
                <w:sz w:val="20"/>
                <w:szCs w:val="20"/>
              </w:rPr>
              <w:t>alternativ auch</w:t>
            </w:r>
            <w:r w:rsidRPr="00710E1B">
              <w:rPr>
                <w:rFonts w:ascii="Open Sans" w:hAnsi="Open Sans" w:cs="Open Sans"/>
                <w:color w:val="FF0000"/>
                <w:sz w:val="20"/>
                <w:szCs w:val="20"/>
              </w:rPr>
              <w:t xml:space="preserve"> eine zweiteilige Tür möglich. </w:t>
            </w:r>
          </w:p>
        </w:tc>
      </w:tr>
      <w:tr w:rsidR="005C2439" w:rsidRPr="005C2439" w14:paraId="2F1D3465" w14:textId="77777777" w:rsidTr="002008FD">
        <w:trPr>
          <w:trHeight w:val="851"/>
        </w:trPr>
        <w:tc>
          <w:tcPr>
            <w:tcW w:w="527" w:type="dxa"/>
            <w:vAlign w:val="center"/>
          </w:tcPr>
          <w:p w14:paraId="6E002724" w14:textId="54C52054" w:rsidR="005C2439" w:rsidRPr="005C2439" w:rsidRDefault="005C2439" w:rsidP="005C2439">
            <w:pPr>
              <w:jc w:val="both"/>
              <w:rPr>
                <w:rFonts w:ascii="Open Sans" w:hAnsi="Open Sans" w:cs="Open Sans"/>
                <w:sz w:val="20"/>
                <w:szCs w:val="20"/>
              </w:rPr>
            </w:pPr>
            <w:r w:rsidRPr="005C2439">
              <w:rPr>
                <w:rFonts w:ascii="Open Sans" w:hAnsi="Open Sans" w:cs="Open Sans"/>
                <w:sz w:val="20"/>
                <w:szCs w:val="20"/>
              </w:rPr>
              <w:t>4</w:t>
            </w:r>
          </w:p>
        </w:tc>
        <w:tc>
          <w:tcPr>
            <w:tcW w:w="2472" w:type="dxa"/>
            <w:vAlign w:val="center"/>
          </w:tcPr>
          <w:p w14:paraId="67B703B7" w14:textId="77777777" w:rsidR="00D64599" w:rsidRDefault="00D64599" w:rsidP="00D64599">
            <w:pPr>
              <w:jc w:val="both"/>
              <w:rPr>
                <w:rFonts w:ascii="Open Sans" w:hAnsi="Open Sans" w:cs="Open Sans"/>
                <w:sz w:val="20"/>
                <w:szCs w:val="20"/>
              </w:rPr>
            </w:pPr>
            <w:r>
              <w:rPr>
                <w:rFonts w:ascii="Open Sans" w:hAnsi="Open Sans" w:cs="Open Sans"/>
                <w:sz w:val="20"/>
                <w:szCs w:val="20"/>
              </w:rPr>
              <w:t>Los 3,</w:t>
            </w:r>
          </w:p>
          <w:p w14:paraId="365A76D1" w14:textId="647EE62F" w:rsidR="005C2439" w:rsidRPr="005C2439" w:rsidRDefault="006D0FC9" w:rsidP="005C2439">
            <w:pPr>
              <w:jc w:val="both"/>
              <w:rPr>
                <w:rFonts w:ascii="Open Sans" w:hAnsi="Open Sans" w:cs="Open Sans"/>
                <w:sz w:val="20"/>
                <w:szCs w:val="20"/>
              </w:rPr>
            </w:pPr>
            <w:r>
              <w:rPr>
                <w:rFonts w:ascii="Open Sans" w:hAnsi="Open Sans" w:cs="Open Sans"/>
                <w:sz w:val="20"/>
                <w:szCs w:val="20"/>
              </w:rPr>
              <w:t>Leistungsverzeichnis, Brandschutzklasse</w:t>
            </w:r>
          </w:p>
        </w:tc>
        <w:tc>
          <w:tcPr>
            <w:tcW w:w="4949" w:type="dxa"/>
            <w:vAlign w:val="center"/>
          </w:tcPr>
          <w:p w14:paraId="6A36C5A6" w14:textId="1407BCDD" w:rsidR="005C2439" w:rsidRPr="005C2439" w:rsidRDefault="006D0FC9" w:rsidP="005C2439">
            <w:pPr>
              <w:rPr>
                <w:rFonts w:ascii="Open Sans" w:hAnsi="Open Sans" w:cs="Open Sans"/>
                <w:sz w:val="20"/>
                <w:szCs w:val="20"/>
              </w:rPr>
            </w:pPr>
            <w:r w:rsidRPr="006D0FC9">
              <w:rPr>
                <w:rFonts w:ascii="Open Sans" w:hAnsi="Open Sans" w:cs="Open Sans"/>
                <w:sz w:val="20"/>
                <w:szCs w:val="20"/>
              </w:rPr>
              <w:t>Die </w:t>
            </w:r>
            <w:r w:rsidRPr="006D0FC9">
              <w:rPr>
                <w:rFonts w:ascii="Open Sans" w:hAnsi="Open Sans" w:cs="Open Sans"/>
                <w:bCs/>
                <w:sz w:val="20"/>
                <w:szCs w:val="20"/>
              </w:rPr>
              <w:t>Brandschutzklasse</w:t>
            </w:r>
            <w:r w:rsidRPr="006D0FC9">
              <w:rPr>
                <w:rFonts w:ascii="Open Sans" w:hAnsi="Open Sans" w:cs="Open Sans"/>
                <w:b/>
                <w:bCs/>
                <w:sz w:val="20"/>
                <w:szCs w:val="20"/>
              </w:rPr>
              <w:t> </w:t>
            </w:r>
            <w:r w:rsidRPr="006D0FC9">
              <w:rPr>
                <w:rFonts w:ascii="Open Sans" w:hAnsi="Open Sans" w:cs="Open Sans"/>
                <w:sz w:val="20"/>
                <w:szCs w:val="20"/>
              </w:rPr>
              <w:t xml:space="preserve">bei den Türen ist hier als Rauchschutztür gefordert. Aufzugstüren sind maximal brandgeprüft (Hinderung von Brandausbreitung über einen bestimmten Zeitraum), jedoch nie rauchdicht. Dies kann auch nie gewährleistet werden, da die Türen auf Grund der </w:t>
            </w:r>
            <w:proofErr w:type="spellStart"/>
            <w:r w:rsidRPr="006D0FC9">
              <w:rPr>
                <w:rFonts w:ascii="Open Sans" w:hAnsi="Open Sans" w:cs="Open Sans"/>
                <w:sz w:val="20"/>
                <w:szCs w:val="20"/>
              </w:rPr>
              <w:t>teleskopierbarkeit</w:t>
            </w:r>
            <w:proofErr w:type="spellEnd"/>
            <w:r w:rsidRPr="006D0FC9">
              <w:rPr>
                <w:rFonts w:ascii="Open Sans" w:hAnsi="Open Sans" w:cs="Open Sans"/>
                <w:sz w:val="20"/>
                <w:szCs w:val="20"/>
              </w:rPr>
              <w:t xml:space="preserve"> immer ein kleines Spiel haben müssen. Rauchschutz kann nur mit </w:t>
            </w:r>
            <w:r w:rsidRPr="006D0FC9">
              <w:rPr>
                <w:rFonts w:ascii="Open Sans" w:hAnsi="Open Sans" w:cs="Open Sans"/>
                <w:sz w:val="20"/>
                <w:szCs w:val="20"/>
              </w:rPr>
              <w:lastRenderedPageBreak/>
              <w:t>vorgesetzten, rauchdichten Türen oder Vorhängen bauseits gelöst werden. Wir die Anforderung laut LV dahingehend zurückgenommen? </w:t>
            </w:r>
          </w:p>
        </w:tc>
        <w:tc>
          <w:tcPr>
            <w:tcW w:w="1559" w:type="dxa"/>
            <w:vAlign w:val="center"/>
          </w:tcPr>
          <w:p w14:paraId="16EA7097" w14:textId="0A2F1322" w:rsidR="005C2439" w:rsidRPr="005C2439" w:rsidRDefault="006D0FC9" w:rsidP="005C2439">
            <w:pPr>
              <w:jc w:val="both"/>
              <w:rPr>
                <w:rFonts w:ascii="Open Sans" w:hAnsi="Open Sans" w:cs="Open Sans"/>
                <w:sz w:val="20"/>
                <w:szCs w:val="20"/>
              </w:rPr>
            </w:pPr>
            <w:r>
              <w:rPr>
                <w:rFonts w:ascii="Open Sans" w:hAnsi="Open Sans" w:cs="Open Sans"/>
                <w:sz w:val="20"/>
                <w:szCs w:val="20"/>
              </w:rPr>
              <w:lastRenderedPageBreak/>
              <w:t>11.10.2024</w:t>
            </w:r>
          </w:p>
        </w:tc>
        <w:tc>
          <w:tcPr>
            <w:tcW w:w="5088" w:type="dxa"/>
            <w:vAlign w:val="center"/>
          </w:tcPr>
          <w:p w14:paraId="3AEE0289" w14:textId="14D6F914" w:rsidR="005C2439" w:rsidRPr="00710E1B" w:rsidRDefault="006D0FC9" w:rsidP="005C2439">
            <w:pPr>
              <w:rPr>
                <w:rFonts w:ascii="Open Sans" w:hAnsi="Open Sans" w:cs="Open Sans"/>
                <w:color w:val="FF0000"/>
                <w:sz w:val="20"/>
                <w:szCs w:val="20"/>
              </w:rPr>
            </w:pPr>
            <w:r w:rsidRPr="00710E1B">
              <w:rPr>
                <w:rFonts w:ascii="Open Sans" w:hAnsi="Open Sans" w:cs="Open Sans"/>
                <w:color w:val="FF0000"/>
                <w:sz w:val="20"/>
                <w:szCs w:val="20"/>
              </w:rPr>
              <w:t xml:space="preserve">Die Forderung nach einer Rauchschutztür wird gestrichen. Für die Fahrschachttüren ist die DIN 81-85 zu beachten. </w:t>
            </w:r>
          </w:p>
        </w:tc>
      </w:tr>
      <w:tr w:rsidR="005C2439" w:rsidRPr="005C2439" w14:paraId="2002B0C3" w14:textId="77777777" w:rsidTr="002008FD">
        <w:trPr>
          <w:trHeight w:val="851"/>
        </w:trPr>
        <w:tc>
          <w:tcPr>
            <w:tcW w:w="527" w:type="dxa"/>
            <w:vAlign w:val="center"/>
          </w:tcPr>
          <w:p w14:paraId="56BB6F5F" w14:textId="29760FFB" w:rsidR="005C2439" w:rsidRPr="005C2439" w:rsidRDefault="005C2439" w:rsidP="005C2439">
            <w:pPr>
              <w:jc w:val="both"/>
              <w:rPr>
                <w:rFonts w:ascii="Open Sans" w:hAnsi="Open Sans" w:cs="Open Sans"/>
                <w:sz w:val="20"/>
                <w:szCs w:val="20"/>
              </w:rPr>
            </w:pPr>
            <w:r w:rsidRPr="005C2439">
              <w:rPr>
                <w:rFonts w:ascii="Open Sans" w:hAnsi="Open Sans" w:cs="Open Sans"/>
                <w:sz w:val="20"/>
                <w:szCs w:val="20"/>
              </w:rPr>
              <w:t>5</w:t>
            </w:r>
          </w:p>
        </w:tc>
        <w:tc>
          <w:tcPr>
            <w:tcW w:w="2472" w:type="dxa"/>
            <w:vAlign w:val="center"/>
          </w:tcPr>
          <w:p w14:paraId="73167931" w14:textId="77777777" w:rsidR="00D64599" w:rsidRDefault="00D64599" w:rsidP="00D64599">
            <w:pPr>
              <w:jc w:val="both"/>
              <w:rPr>
                <w:rFonts w:ascii="Open Sans" w:hAnsi="Open Sans" w:cs="Open Sans"/>
                <w:sz w:val="20"/>
                <w:szCs w:val="20"/>
              </w:rPr>
            </w:pPr>
            <w:r>
              <w:rPr>
                <w:rFonts w:ascii="Open Sans" w:hAnsi="Open Sans" w:cs="Open Sans"/>
                <w:sz w:val="20"/>
                <w:szCs w:val="20"/>
              </w:rPr>
              <w:t>Los 3,</w:t>
            </w:r>
          </w:p>
          <w:p w14:paraId="45577B33" w14:textId="7C19BC5D" w:rsidR="005C2439" w:rsidRPr="005C2439" w:rsidRDefault="006D0FC9" w:rsidP="005C2439">
            <w:pPr>
              <w:jc w:val="both"/>
              <w:rPr>
                <w:rFonts w:ascii="Open Sans" w:hAnsi="Open Sans" w:cs="Open Sans"/>
                <w:sz w:val="20"/>
                <w:szCs w:val="20"/>
              </w:rPr>
            </w:pPr>
            <w:r>
              <w:rPr>
                <w:rFonts w:ascii="Open Sans" w:hAnsi="Open Sans" w:cs="Open Sans"/>
                <w:sz w:val="20"/>
                <w:szCs w:val="20"/>
              </w:rPr>
              <w:t>Leistungsverzeichnis, Portaltüren</w:t>
            </w:r>
          </w:p>
        </w:tc>
        <w:tc>
          <w:tcPr>
            <w:tcW w:w="4949" w:type="dxa"/>
            <w:vAlign w:val="center"/>
          </w:tcPr>
          <w:p w14:paraId="467B0F1B" w14:textId="6F0EAC26" w:rsidR="005C2439" w:rsidRPr="005C2439" w:rsidRDefault="006D0FC9" w:rsidP="005C2439">
            <w:pPr>
              <w:rPr>
                <w:rFonts w:ascii="Open Sans" w:hAnsi="Open Sans" w:cs="Open Sans"/>
                <w:sz w:val="20"/>
                <w:szCs w:val="20"/>
              </w:rPr>
            </w:pPr>
            <w:r w:rsidRPr="006D0FC9">
              <w:rPr>
                <w:rFonts w:ascii="Open Sans" w:hAnsi="Open Sans" w:cs="Open Sans"/>
                <w:sz w:val="20"/>
                <w:szCs w:val="20"/>
              </w:rPr>
              <w:t>Die Türen sind zudem als </w:t>
            </w:r>
            <w:r w:rsidRPr="006D0FC9">
              <w:rPr>
                <w:rFonts w:ascii="Open Sans" w:hAnsi="Open Sans" w:cs="Open Sans"/>
                <w:bCs/>
                <w:sz w:val="20"/>
                <w:szCs w:val="20"/>
              </w:rPr>
              <w:t>Portaltüren</w:t>
            </w:r>
            <w:r w:rsidRPr="006D0FC9">
              <w:rPr>
                <w:rFonts w:ascii="Open Sans" w:hAnsi="Open Sans" w:cs="Open Sans"/>
                <w:b/>
                <w:bCs/>
                <w:sz w:val="20"/>
                <w:szCs w:val="20"/>
              </w:rPr>
              <w:t> </w:t>
            </w:r>
            <w:r w:rsidRPr="006D0FC9">
              <w:rPr>
                <w:rFonts w:ascii="Open Sans" w:hAnsi="Open Sans" w:cs="Open Sans"/>
                <w:sz w:val="20"/>
                <w:szCs w:val="20"/>
              </w:rPr>
              <w:t>zum Verschluss der Schachtvorderwand ausgeschrieben. Die Firma Otis hat dies in Ihrem Standardsegment. Sicherlich können auch andere Aufzugshersteller diese Türen anbieten. Vorteil für den Bauherren ist zwar, dass man sich den Rohbau der Vorderwand spart, jedoch überwiegen hier ggf. die Nachteile: Türen sind deutlich teurer in der Anschaffung, Blechfronten sind anfälliger gegen Kratzer und Beulen als eine massive Vorderwand, die Schallemission ist deutlich höher als bei einer Massivwand, höhere Unterhaltungs- und Reparaturkosten. Wäre es auch zulässig normale Türen anzubieten, wenn bauseits die Vorderwand gemäß Schachtplanung des AN hergestellt wird? </w:t>
            </w:r>
          </w:p>
        </w:tc>
        <w:tc>
          <w:tcPr>
            <w:tcW w:w="1559" w:type="dxa"/>
            <w:vAlign w:val="center"/>
          </w:tcPr>
          <w:p w14:paraId="6FAC7436" w14:textId="2E59D350" w:rsidR="005C2439" w:rsidRPr="005C2439" w:rsidRDefault="006D0FC9" w:rsidP="005C2439">
            <w:pPr>
              <w:jc w:val="both"/>
              <w:rPr>
                <w:rFonts w:ascii="Open Sans" w:hAnsi="Open Sans" w:cs="Open Sans"/>
                <w:sz w:val="20"/>
                <w:szCs w:val="20"/>
              </w:rPr>
            </w:pPr>
            <w:r>
              <w:rPr>
                <w:rFonts w:ascii="Open Sans" w:hAnsi="Open Sans" w:cs="Open Sans"/>
                <w:sz w:val="20"/>
                <w:szCs w:val="20"/>
              </w:rPr>
              <w:t>11.10.2024</w:t>
            </w:r>
          </w:p>
        </w:tc>
        <w:tc>
          <w:tcPr>
            <w:tcW w:w="5088" w:type="dxa"/>
            <w:vAlign w:val="center"/>
          </w:tcPr>
          <w:p w14:paraId="45F3409D" w14:textId="708748E8" w:rsidR="005C2439" w:rsidRPr="00710E1B" w:rsidRDefault="006D0FC9" w:rsidP="005C2439">
            <w:pPr>
              <w:rPr>
                <w:rFonts w:ascii="Open Sans" w:hAnsi="Open Sans" w:cs="Open Sans"/>
                <w:color w:val="FF0000"/>
                <w:sz w:val="20"/>
                <w:szCs w:val="20"/>
              </w:rPr>
            </w:pPr>
            <w:r w:rsidRPr="00710E1B">
              <w:rPr>
                <w:rFonts w:ascii="Open Sans" w:hAnsi="Open Sans" w:cs="Open Sans"/>
                <w:color w:val="FF0000"/>
                <w:sz w:val="20"/>
                <w:szCs w:val="20"/>
              </w:rPr>
              <w:t>In Abweichung von den Vorgaben im Leistungsverzeichnis ist alternativ auch eine zweiteilige Tür möglich.</w:t>
            </w:r>
          </w:p>
        </w:tc>
      </w:tr>
      <w:tr w:rsidR="002008FD" w:rsidRPr="005C2439" w14:paraId="7A73598D" w14:textId="77777777" w:rsidTr="002008FD">
        <w:trPr>
          <w:trHeight w:val="851"/>
        </w:trPr>
        <w:tc>
          <w:tcPr>
            <w:tcW w:w="527" w:type="dxa"/>
            <w:vAlign w:val="center"/>
          </w:tcPr>
          <w:p w14:paraId="0094C531" w14:textId="628C227A" w:rsidR="002008FD" w:rsidRPr="005C2439" w:rsidRDefault="002008FD" w:rsidP="002008FD">
            <w:pPr>
              <w:jc w:val="both"/>
              <w:rPr>
                <w:rFonts w:ascii="Open Sans" w:hAnsi="Open Sans" w:cs="Open Sans"/>
                <w:sz w:val="20"/>
                <w:szCs w:val="20"/>
              </w:rPr>
            </w:pPr>
            <w:r>
              <w:rPr>
                <w:rFonts w:ascii="Open Sans" w:hAnsi="Open Sans" w:cs="Open Sans"/>
                <w:sz w:val="20"/>
                <w:szCs w:val="20"/>
              </w:rPr>
              <w:t>6</w:t>
            </w:r>
          </w:p>
        </w:tc>
        <w:tc>
          <w:tcPr>
            <w:tcW w:w="2472" w:type="dxa"/>
            <w:vAlign w:val="center"/>
          </w:tcPr>
          <w:p w14:paraId="4034345A" w14:textId="77777777" w:rsidR="00D64599" w:rsidRDefault="00D64599" w:rsidP="00D64599">
            <w:pPr>
              <w:jc w:val="both"/>
              <w:rPr>
                <w:rFonts w:ascii="Open Sans" w:hAnsi="Open Sans" w:cs="Open Sans"/>
                <w:sz w:val="20"/>
                <w:szCs w:val="20"/>
              </w:rPr>
            </w:pPr>
            <w:r>
              <w:rPr>
                <w:rFonts w:ascii="Open Sans" w:hAnsi="Open Sans" w:cs="Open Sans"/>
                <w:sz w:val="20"/>
                <w:szCs w:val="20"/>
              </w:rPr>
              <w:t>Los 3,</w:t>
            </w:r>
          </w:p>
          <w:p w14:paraId="665D9ED2" w14:textId="3513970F" w:rsidR="002008FD" w:rsidRDefault="002008FD" w:rsidP="002008FD">
            <w:pPr>
              <w:jc w:val="both"/>
              <w:rPr>
                <w:rFonts w:ascii="Open Sans" w:hAnsi="Open Sans" w:cs="Open Sans"/>
                <w:sz w:val="20"/>
                <w:szCs w:val="20"/>
              </w:rPr>
            </w:pPr>
            <w:r>
              <w:rPr>
                <w:rFonts w:ascii="Open Sans" w:hAnsi="Open Sans" w:cs="Open Sans"/>
                <w:sz w:val="20"/>
                <w:szCs w:val="20"/>
              </w:rPr>
              <w:t>Leistungsverzeichnis, Regenerativer Antrieb</w:t>
            </w:r>
          </w:p>
        </w:tc>
        <w:tc>
          <w:tcPr>
            <w:tcW w:w="4949" w:type="dxa"/>
            <w:vAlign w:val="center"/>
          </w:tcPr>
          <w:p w14:paraId="30A2DD12" w14:textId="4B96F423" w:rsidR="002008FD" w:rsidRPr="006D0FC9" w:rsidRDefault="002008FD" w:rsidP="002008FD">
            <w:pPr>
              <w:rPr>
                <w:rFonts w:ascii="Open Sans" w:hAnsi="Open Sans" w:cs="Open Sans"/>
                <w:sz w:val="20"/>
                <w:szCs w:val="20"/>
              </w:rPr>
            </w:pPr>
            <w:r w:rsidRPr="006D0FC9">
              <w:rPr>
                <w:rFonts w:ascii="Open Sans" w:hAnsi="Open Sans" w:cs="Open Sans"/>
                <w:bCs/>
                <w:sz w:val="20"/>
                <w:szCs w:val="20"/>
              </w:rPr>
              <w:t>Regenerativer Antrieb</w:t>
            </w:r>
            <w:r w:rsidRPr="006D0FC9">
              <w:rPr>
                <w:rFonts w:ascii="Open Sans" w:hAnsi="Open Sans" w:cs="Open Sans"/>
                <w:sz w:val="20"/>
                <w:szCs w:val="20"/>
              </w:rPr>
              <w:t xml:space="preserve">: Dieser ist z.B. bei der Firma OTIS im Standardsegment immer im Lieferumfang enthalten. Bei fast allen anderen Herstellern ist dies aufpreispflichtig. In Ihrem Anwendungsfall lohnt diese Art von Antrieb sich bis zum Ende der Lebensdauer nicht. Die Mehrkosten des Antriebs werden nie durch die Einsparung wieder eingespielt. Solch ein Antrieb lohnt nur bei sehr </w:t>
            </w:r>
            <w:r w:rsidRPr="006D0FC9">
              <w:rPr>
                <w:rFonts w:ascii="Open Sans" w:hAnsi="Open Sans" w:cs="Open Sans"/>
                <w:sz w:val="20"/>
                <w:szCs w:val="20"/>
              </w:rPr>
              <w:lastRenderedPageBreak/>
              <w:t>hohen Förderhöhen, bei sehr hohen Fahrgeschwindigkeiten, hohen Traglasten und sehr hoher Frequentierung. All dies ist hier nicht der Fall. Kann auch ein marktüblicher Heizwiderstand vorgesehen werden, welcher zumindest etwas Wärme dem Gebäude zuführen kann? </w:t>
            </w:r>
          </w:p>
        </w:tc>
        <w:tc>
          <w:tcPr>
            <w:tcW w:w="1559" w:type="dxa"/>
            <w:vAlign w:val="center"/>
          </w:tcPr>
          <w:p w14:paraId="7307C75D" w14:textId="7920CCCF" w:rsidR="002008FD" w:rsidRDefault="002008FD" w:rsidP="002008FD">
            <w:pPr>
              <w:jc w:val="both"/>
              <w:rPr>
                <w:rFonts w:ascii="Open Sans" w:hAnsi="Open Sans" w:cs="Open Sans"/>
                <w:sz w:val="20"/>
                <w:szCs w:val="20"/>
              </w:rPr>
            </w:pPr>
            <w:r>
              <w:rPr>
                <w:rFonts w:ascii="Open Sans" w:hAnsi="Open Sans" w:cs="Open Sans"/>
                <w:sz w:val="20"/>
                <w:szCs w:val="20"/>
              </w:rPr>
              <w:lastRenderedPageBreak/>
              <w:t>11.10.2024</w:t>
            </w:r>
          </w:p>
        </w:tc>
        <w:tc>
          <w:tcPr>
            <w:tcW w:w="5088" w:type="dxa"/>
            <w:vAlign w:val="center"/>
          </w:tcPr>
          <w:p w14:paraId="0C783419" w14:textId="7A5E2931" w:rsidR="002008FD" w:rsidRPr="00710E1B" w:rsidRDefault="002008FD" w:rsidP="002008FD">
            <w:pPr>
              <w:rPr>
                <w:rFonts w:ascii="Open Sans" w:hAnsi="Open Sans" w:cs="Open Sans"/>
                <w:color w:val="FF0000"/>
                <w:sz w:val="20"/>
                <w:szCs w:val="20"/>
              </w:rPr>
            </w:pPr>
            <w:r w:rsidRPr="00710E1B">
              <w:rPr>
                <w:rFonts w:ascii="Open Sans" w:hAnsi="Open Sans" w:cs="Open Sans"/>
                <w:color w:val="FF0000"/>
                <w:sz w:val="20"/>
                <w:szCs w:val="20"/>
              </w:rPr>
              <w:t xml:space="preserve">Ein marktüblicher Heizwiderstand wird vonseiten das des Auftraggebers als geeignete Alternative zu einem regenerativen Antrieb betrachtet. </w:t>
            </w:r>
          </w:p>
        </w:tc>
      </w:tr>
      <w:tr w:rsidR="002008FD" w:rsidRPr="005C2439" w14:paraId="6E379A6B" w14:textId="77777777" w:rsidTr="002008FD">
        <w:trPr>
          <w:trHeight w:val="851"/>
        </w:trPr>
        <w:tc>
          <w:tcPr>
            <w:tcW w:w="527" w:type="dxa"/>
            <w:vAlign w:val="center"/>
          </w:tcPr>
          <w:p w14:paraId="0C356121" w14:textId="095F30B8" w:rsidR="002008FD" w:rsidRPr="005C2439" w:rsidRDefault="002008FD" w:rsidP="002008FD">
            <w:pPr>
              <w:jc w:val="both"/>
              <w:rPr>
                <w:rFonts w:ascii="Open Sans" w:hAnsi="Open Sans" w:cs="Open Sans"/>
                <w:sz w:val="20"/>
                <w:szCs w:val="20"/>
              </w:rPr>
            </w:pPr>
            <w:r>
              <w:rPr>
                <w:rFonts w:ascii="Open Sans" w:hAnsi="Open Sans" w:cs="Open Sans"/>
                <w:sz w:val="20"/>
                <w:szCs w:val="20"/>
              </w:rPr>
              <w:t>7</w:t>
            </w:r>
          </w:p>
        </w:tc>
        <w:tc>
          <w:tcPr>
            <w:tcW w:w="2472" w:type="dxa"/>
            <w:vAlign w:val="center"/>
          </w:tcPr>
          <w:p w14:paraId="2DC93BBC" w14:textId="77777777" w:rsidR="00D64599" w:rsidRDefault="00D64599" w:rsidP="00D64599">
            <w:pPr>
              <w:jc w:val="both"/>
              <w:rPr>
                <w:rFonts w:ascii="Open Sans" w:hAnsi="Open Sans" w:cs="Open Sans"/>
                <w:sz w:val="20"/>
                <w:szCs w:val="20"/>
              </w:rPr>
            </w:pPr>
            <w:r>
              <w:rPr>
                <w:rFonts w:ascii="Open Sans" w:hAnsi="Open Sans" w:cs="Open Sans"/>
                <w:sz w:val="20"/>
                <w:szCs w:val="20"/>
              </w:rPr>
              <w:t>Los 3,</w:t>
            </w:r>
          </w:p>
          <w:p w14:paraId="76DBF2DF" w14:textId="34F62CE7" w:rsidR="002008FD" w:rsidRDefault="002008FD" w:rsidP="002008FD">
            <w:pPr>
              <w:jc w:val="both"/>
              <w:rPr>
                <w:rFonts w:ascii="Open Sans" w:hAnsi="Open Sans" w:cs="Open Sans"/>
                <w:sz w:val="20"/>
                <w:szCs w:val="20"/>
              </w:rPr>
            </w:pPr>
            <w:r>
              <w:rPr>
                <w:rFonts w:ascii="Open Sans" w:hAnsi="Open Sans" w:cs="Open Sans"/>
                <w:sz w:val="20"/>
                <w:szCs w:val="20"/>
              </w:rPr>
              <w:t>Leistungsverzeichnis, Fahrtrichtungspfeile</w:t>
            </w:r>
          </w:p>
        </w:tc>
        <w:tc>
          <w:tcPr>
            <w:tcW w:w="4949" w:type="dxa"/>
            <w:vAlign w:val="center"/>
          </w:tcPr>
          <w:p w14:paraId="6F014494" w14:textId="7CC3E761" w:rsidR="002008FD" w:rsidRPr="006D0FC9" w:rsidRDefault="002008FD" w:rsidP="002008FD">
            <w:pPr>
              <w:rPr>
                <w:rFonts w:ascii="Open Sans" w:hAnsi="Open Sans" w:cs="Open Sans"/>
                <w:sz w:val="20"/>
                <w:szCs w:val="20"/>
              </w:rPr>
            </w:pPr>
            <w:r w:rsidRPr="002008FD">
              <w:rPr>
                <w:rFonts w:ascii="Open Sans" w:hAnsi="Open Sans" w:cs="Open Sans"/>
                <w:bCs/>
                <w:sz w:val="20"/>
                <w:szCs w:val="20"/>
              </w:rPr>
              <w:t>Fahrtrichtungspfeile</w:t>
            </w:r>
            <w:r w:rsidRPr="002008FD">
              <w:rPr>
                <w:rFonts w:ascii="Open Sans" w:hAnsi="Open Sans" w:cs="Open Sans"/>
                <w:sz w:val="20"/>
                <w:szCs w:val="20"/>
              </w:rPr>
              <w:t xml:space="preserve">: Hier ist die Frage der Sinnhaftigkeit von </w:t>
            </w:r>
            <w:proofErr w:type="spellStart"/>
            <w:r w:rsidRPr="002008FD">
              <w:rPr>
                <w:rFonts w:ascii="Open Sans" w:hAnsi="Open Sans" w:cs="Open Sans"/>
                <w:sz w:val="20"/>
                <w:szCs w:val="20"/>
              </w:rPr>
              <w:t>Fahrtrichtigungspfeilen</w:t>
            </w:r>
            <w:proofErr w:type="spellEnd"/>
            <w:r w:rsidRPr="002008FD">
              <w:rPr>
                <w:rFonts w:ascii="Open Sans" w:hAnsi="Open Sans" w:cs="Open Sans"/>
                <w:sz w:val="20"/>
                <w:szCs w:val="20"/>
              </w:rPr>
              <w:t xml:space="preserve"> bei nur zwei Etagen. Dies macht nur bei hohen Gebäuden oder Gruppenaufzügen </w:t>
            </w:r>
            <w:proofErr w:type="spellStart"/>
            <w:r w:rsidRPr="002008FD">
              <w:rPr>
                <w:rFonts w:ascii="Open Sans" w:hAnsi="Open Sans" w:cs="Open Sans"/>
                <w:sz w:val="20"/>
                <w:szCs w:val="20"/>
              </w:rPr>
              <w:t>sinn</w:t>
            </w:r>
            <w:proofErr w:type="spellEnd"/>
            <w:r w:rsidRPr="002008FD">
              <w:rPr>
                <w:rFonts w:ascii="Open Sans" w:hAnsi="Open Sans" w:cs="Open Sans"/>
                <w:sz w:val="20"/>
                <w:szCs w:val="20"/>
              </w:rPr>
              <w:t>. Das Aufleuchten, bis die Fahrt ausgeführt worden ist, ist bereits über die Taster gewährleistet. Kann auf die Zusatzkosten verzichtet werden? </w:t>
            </w:r>
          </w:p>
        </w:tc>
        <w:tc>
          <w:tcPr>
            <w:tcW w:w="1559" w:type="dxa"/>
            <w:vAlign w:val="center"/>
          </w:tcPr>
          <w:p w14:paraId="1EB0CD71" w14:textId="53E507A3" w:rsidR="002008FD" w:rsidRDefault="002008FD" w:rsidP="002008FD">
            <w:pPr>
              <w:jc w:val="both"/>
              <w:rPr>
                <w:rFonts w:ascii="Open Sans" w:hAnsi="Open Sans" w:cs="Open Sans"/>
                <w:sz w:val="20"/>
                <w:szCs w:val="20"/>
              </w:rPr>
            </w:pPr>
            <w:r>
              <w:rPr>
                <w:rFonts w:ascii="Open Sans" w:hAnsi="Open Sans" w:cs="Open Sans"/>
                <w:sz w:val="20"/>
                <w:szCs w:val="20"/>
              </w:rPr>
              <w:t>11.10.2024</w:t>
            </w:r>
          </w:p>
        </w:tc>
        <w:tc>
          <w:tcPr>
            <w:tcW w:w="5088" w:type="dxa"/>
            <w:vAlign w:val="center"/>
          </w:tcPr>
          <w:p w14:paraId="2775C0FD" w14:textId="77777777" w:rsidR="002008FD" w:rsidRPr="00710E1B" w:rsidRDefault="002008FD" w:rsidP="002008FD">
            <w:pPr>
              <w:rPr>
                <w:rFonts w:ascii="Open Sans" w:hAnsi="Open Sans" w:cs="Open Sans"/>
                <w:color w:val="FF0000"/>
                <w:sz w:val="20"/>
                <w:szCs w:val="20"/>
              </w:rPr>
            </w:pPr>
            <w:r w:rsidRPr="00710E1B">
              <w:rPr>
                <w:rFonts w:ascii="Open Sans" w:hAnsi="Open Sans" w:cs="Open Sans"/>
                <w:color w:val="FF0000"/>
                <w:sz w:val="20"/>
                <w:szCs w:val="20"/>
              </w:rPr>
              <w:t>Dies ist eine Notwendigkeit laut der DIN EN 81-70. Punkt 5.4.2.4.1</w:t>
            </w:r>
          </w:p>
          <w:p w14:paraId="7FC61C46" w14:textId="77777777" w:rsidR="002008FD" w:rsidRPr="00710E1B" w:rsidRDefault="002008FD" w:rsidP="002008FD">
            <w:pPr>
              <w:rPr>
                <w:rFonts w:ascii="Open Sans" w:hAnsi="Open Sans" w:cs="Open Sans"/>
                <w:color w:val="FF0000"/>
                <w:sz w:val="20"/>
                <w:szCs w:val="20"/>
              </w:rPr>
            </w:pPr>
          </w:p>
        </w:tc>
      </w:tr>
      <w:tr w:rsidR="002008FD" w:rsidRPr="005C2439" w14:paraId="7848A83B" w14:textId="77777777" w:rsidTr="002008FD">
        <w:trPr>
          <w:trHeight w:val="851"/>
        </w:trPr>
        <w:tc>
          <w:tcPr>
            <w:tcW w:w="527" w:type="dxa"/>
            <w:vAlign w:val="center"/>
          </w:tcPr>
          <w:p w14:paraId="6D16EA4F" w14:textId="35A829A7" w:rsidR="002008FD" w:rsidRPr="005C2439" w:rsidRDefault="002008FD" w:rsidP="002008FD">
            <w:pPr>
              <w:jc w:val="both"/>
              <w:rPr>
                <w:rFonts w:ascii="Open Sans" w:hAnsi="Open Sans" w:cs="Open Sans"/>
                <w:sz w:val="20"/>
                <w:szCs w:val="20"/>
              </w:rPr>
            </w:pPr>
            <w:r>
              <w:rPr>
                <w:rFonts w:ascii="Open Sans" w:hAnsi="Open Sans" w:cs="Open Sans"/>
                <w:sz w:val="20"/>
                <w:szCs w:val="20"/>
              </w:rPr>
              <w:t>8</w:t>
            </w:r>
          </w:p>
        </w:tc>
        <w:tc>
          <w:tcPr>
            <w:tcW w:w="2472" w:type="dxa"/>
            <w:vAlign w:val="center"/>
          </w:tcPr>
          <w:p w14:paraId="1C056960" w14:textId="77777777" w:rsidR="00D64599" w:rsidRDefault="00D64599" w:rsidP="00D64599">
            <w:pPr>
              <w:jc w:val="both"/>
              <w:rPr>
                <w:rFonts w:ascii="Open Sans" w:hAnsi="Open Sans" w:cs="Open Sans"/>
                <w:sz w:val="20"/>
                <w:szCs w:val="20"/>
              </w:rPr>
            </w:pPr>
            <w:r>
              <w:rPr>
                <w:rFonts w:ascii="Open Sans" w:hAnsi="Open Sans" w:cs="Open Sans"/>
                <w:sz w:val="20"/>
                <w:szCs w:val="20"/>
              </w:rPr>
              <w:t>Los 3,</w:t>
            </w:r>
          </w:p>
          <w:p w14:paraId="2327D2C2" w14:textId="72D034EB" w:rsidR="002008FD" w:rsidRDefault="002008FD" w:rsidP="002008FD">
            <w:pPr>
              <w:jc w:val="both"/>
              <w:rPr>
                <w:rFonts w:ascii="Open Sans" w:hAnsi="Open Sans" w:cs="Open Sans"/>
                <w:sz w:val="20"/>
                <w:szCs w:val="20"/>
              </w:rPr>
            </w:pPr>
            <w:r>
              <w:rPr>
                <w:rFonts w:ascii="Open Sans" w:hAnsi="Open Sans" w:cs="Open Sans"/>
                <w:sz w:val="20"/>
                <w:szCs w:val="20"/>
              </w:rPr>
              <w:t xml:space="preserve">Leistungsverzeichnis, </w:t>
            </w:r>
            <w:r w:rsidRPr="002008FD">
              <w:rPr>
                <w:rFonts w:ascii="Open Sans" w:hAnsi="Open Sans" w:cs="Open Sans"/>
                <w:sz w:val="20"/>
                <w:szCs w:val="20"/>
              </w:rPr>
              <w:t>Permanente Tragmittelüberwachung</w:t>
            </w:r>
          </w:p>
        </w:tc>
        <w:tc>
          <w:tcPr>
            <w:tcW w:w="4949" w:type="dxa"/>
            <w:vAlign w:val="center"/>
          </w:tcPr>
          <w:p w14:paraId="49CD3245" w14:textId="36252B7D" w:rsidR="002008FD" w:rsidRPr="006D0FC9" w:rsidRDefault="002008FD" w:rsidP="002008FD">
            <w:pPr>
              <w:rPr>
                <w:rFonts w:ascii="Open Sans" w:hAnsi="Open Sans" w:cs="Open Sans"/>
                <w:sz w:val="20"/>
                <w:szCs w:val="20"/>
              </w:rPr>
            </w:pPr>
            <w:r w:rsidRPr="002008FD">
              <w:rPr>
                <w:rFonts w:ascii="Open Sans" w:hAnsi="Open Sans" w:cs="Open Sans"/>
                <w:bCs/>
                <w:sz w:val="20"/>
                <w:szCs w:val="20"/>
              </w:rPr>
              <w:t>Permanente Tragmittelüberwachung</w:t>
            </w:r>
            <w:r w:rsidRPr="002008FD">
              <w:rPr>
                <w:rFonts w:ascii="Open Sans" w:hAnsi="Open Sans" w:cs="Open Sans"/>
                <w:sz w:val="20"/>
                <w:szCs w:val="20"/>
              </w:rPr>
              <w:t>: Auch hier eine Besonderheit, die OTIS ausführt in Verbindung mit Ihrem Gurtsystem, alle andern Hersteller nutzen hierfür einen Zähler in der Steuerung für Biegewechsel und in Kombination die Sichtprüfung bei den Wartungen. Ist diese marktübliche Überwachung auch zulässig?</w:t>
            </w:r>
          </w:p>
        </w:tc>
        <w:tc>
          <w:tcPr>
            <w:tcW w:w="1559" w:type="dxa"/>
            <w:vAlign w:val="center"/>
          </w:tcPr>
          <w:p w14:paraId="600E5A14" w14:textId="08363A22" w:rsidR="002008FD" w:rsidRDefault="002008FD" w:rsidP="002008FD">
            <w:pPr>
              <w:jc w:val="both"/>
              <w:rPr>
                <w:rFonts w:ascii="Open Sans" w:hAnsi="Open Sans" w:cs="Open Sans"/>
                <w:sz w:val="20"/>
                <w:szCs w:val="20"/>
              </w:rPr>
            </w:pPr>
            <w:r>
              <w:rPr>
                <w:rFonts w:ascii="Open Sans" w:hAnsi="Open Sans" w:cs="Open Sans"/>
                <w:sz w:val="20"/>
                <w:szCs w:val="20"/>
              </w:rPr>
              <w:t>11.10.2024</w:t>
            </w:r>
          </w:p>
        </w:tc>
        <w:tc>
          <w:tcPr>
            <w:tcW w:w="5088" w:type="dxa"/>
            <w:vAlign w:val="center"/>
          </w:tcPr>
          <w:p w14:paraId="2BB98C84" w14:textId="0F727A92" w:rsidR="002008FD" w:rsidRPr="00710E1B" w:rsidRDefault="002008FD" w:rsidP="002008FD">
            <w:pPr>
              <w:rPr>
                <w:rFonts w:ascii="Open Sans" w:hAnsi="Open Sans" w:cs="Open Sans"/>
                <w:color w:val="FF0000"/>
                <w:sz w:val="20"/>
                <w:szCs w:val="20"/>
              </w:rPr>
            </w:pPr>
            <w:r w:rsidRPr="00710E1B">
              <w:rPr>
                <w:rFonts w:ascii="Open Sans" w:hAnsi="Open Sans" w:cs="Open Sans"/>
                <w:iCs/>
                <w:color w:val="FF0000"/>
                <w:sz w:val="20"/>
                <w:szCs w:val="20"/>
              </w:rPr>
              <w:t xml:space="preserve">Im Leistungsverzeichnis ist </w:t>
            </w:r>
            <w:proofErr w:type="gramStart"/>
            <w:r w:rsidRPr="00710E1B">
              <w:rPr>
                <w:rFonts w:ascii="Open Sans" w:hAnsi="Open Sans" w:cs="Open Sans"/>
                <w:iCs/>
                <w:color w:val="FF0000"/>
                <w:sz w:val="20"/>
                <w:szCs w:val="20"/>
              </w:rPr>
              <w:t>ausgeschrieben:</w:t>
            </w:r>
            <w:r w:rsidRPr="00710E1B">
              <w:rPr>
                <w:rFonts w:ascii="Open Sans" w:hAnsi="Open Sans" w:cs="Open Sans"/>
                <w:i/>
                <w:iCs/>
                <w:color w:val="FF0000"/>
                <w:sz w:val="20"/>
                <w:szCs w:val="20"/>
              </w:rPr>
              <w:t xml:space="preserve"> ….</w:t>
            </w:r>
            <w:proofErr w:type="gramEnd"/>
            <w:r w:rsidRPr="00710E1B">
              <w:rPr>
                <w:rFonts w:ascii="Open Sans" w:hAnsi="Open Sans" w:cs="Open Sans"/>
                <w:i/>
                <w:iCs/>
                <w:color w:val="FF0000"/>
                <w:sz w:val="20"/>
                <w:szCs w:val="20"/>
              </w:rPr>
              <w:t>Die Tragmittel sind durch ein permanent wirkendes, automatisches System zu überwachen. ….</w:t>
            </w:r>
          </w:p>
          <w:p w14:paraId="4362AA36" w14:textId="77777777" w:rsidR="002008FD" w:rsidRPr="00710E1B" w:rsidRDefault="002008FD" w:rsidP="002008FD">
            <w:pPr>
              <w:rPr>
                <w:rFonts w:ascii="Open Sans" w:hAnsi="Open Sans" w:cs="Open Sans"/>
                <w:color w:val="FF0000"/>
                <w:sz w:val="20"/>
                <w:szCs w:val="20"/>
              </w:rPr>
            </w:pPr>
          </w:p>
          <w:p w14:paraId="2E497EF3" w14:textId="77777777" w:rsidR="00710E1B" w:rsidRPr="00710E1B" w:rsidRDefault="002008FD" w:rsidP="00710E1B">
            <w:pPr>
              <w:rPr>
                <w:rFonts w:ascii="Open Sans" w:hAnsi="Open Sans" w:cs="Open Sans"/>
                <w:color w:val="FF0000"/>
                <w:sz w:val="20"/>
                <w:szCs w:val="20"/>
              </w:rPr>
            </w:pPr>
            <w:r w:rsidRPr="00710E1B">
              <w:rPr>
                <w:rFonts w:ascii="Open Sans" w:hAnsi="Open Sans" w:cs="Open Sans"/>
                <w:color w:val="FF0000"/>
                <w:sz w:val="20"/>
                <w:szCs w:val="20"/>
              </w:rPr>
              <w:t xml:space="preserve">Ein spezielles System wurde hierbei nicht vorgeschrieben. </w:t>
            </w:r>
            <w:r w:rsidR="00710E1B" w:rsidRPr="00710E1B">
              <w:rPr>
                <w:rFonts w:ascii="Open Sans" w:hAnsi="Open Sans" w:cs="Open Sans"/>
                <w:color w:val="FF0000"/>
                <w:sz w:val="20"/>
                <w:szCs w:val="20"/>
              </w:rPr>
              <w:t>Insoweit ein Überwachungssystem mittels Zähler in der Steuerung für Biegewechsel</w:t>
            </w:r>
          </w:p>
          <w:p w14:paraId="08505B7B" w14:textId="24BDF6F3" w:rsidR="002008FD" w:rsidRPr="00710E1B" w:rsidRDefault="00710E1B" w:rsidP="002008FD">
            <w:pPr>
              <w:rPr>
                <w:rFonts w:ascii="Open Sans" w:hAnsi="Open Sans" w:cs="Open Sans"/>
                <w:color w:val="FF0000"/>
                <w:sz w:val="20"/>
                <w:szCs w:val="20"/>
              </w:rPr>
            </w:pPr>
            <w:r w:rsidRPr="00710E1B">
              <w:rPr>
                <w:rFonts w:ascii="Open Sans" w:hAnsi="Open Sans" w:cs="Open Sans"/>
                <w:color w:val="FF0000"/>
                <w:sz w:val="20"/>
                <w:szCs w:val="20"/>
              </w:rPr>
              <w:t xml:space="preserve">permanent wirkt und eine automatische Überwachung sicherstellt, ist dies zulässig. </w:t>
            </w:r>
          </w:p>
          <w:p w14:paraId="21A2A961" w14:textId="73698EE7" w:rsidR="002008FD" w:rsidRPr="00710E1B" w:rsidRDefault="002008FD" w:rsidP="002008FD">
            <w:pPr>
              <w:rPr>
                <w:rFonts w:ascii="Open Sans" w:hAnsi="Open Sans" w:cs="Open Sans"/>
                <w:color w:val="FF0000"/>
                <w:sz w:val="20"/>
                <w:szCs w:val="20"/>
              </w:rPr>
            </w:pPr>
          </w:p>
        </w:tc>
      </w:tr>
      <w:tr w:rsidR="00CF2262" w:rsidRPr="005C2439" w14:paraId="2C5FCF49" w14:textId="77777777" w:rsidTr="002008FD">
        <w:trPr>
          <w:trHeight w:val="851"/>
        </w:trPr>
        <w:tc>
          <w:tcPr>
            <w:tcW w:w="527" w:type="dxa"/>
            <w:vAlign w:val="center"/>
          </w:tcPr>
          <w:p w14:paraId="415B33A8" w14:textId="39DE1FB1" w:rsidR="00CF2262" w:rsidRDefault="009C60D9" w:rsidP="002008FD">
            <w:pPr>
              <w:jc w:val="both"/>
              <w:rPr>
                <w:rFonts w:ascii="Open Sans" w:hAnsi="Open Sans" w:cs="Open Sans"/>
                <w:sz w:val="20"/>
                <w:szCs w:val="20"/>
              </w:rPr>
            </w:pPr>
            <w:r>
              <w:rPr>
                <w:rFonts w:ascii="Open Sans" w:hAnsi="Open Sans" w:cs="Open Sans"/>
                <w:sz w:val="20"/>
                <w:szCs w:val="20"/>
              </w:rPr>
              <w:t>9</w:t>
            </w:r>
          </w:p>
        </w:tc>
        <w:tc>
          <w:tcPr>
            <w:tcW w:w="2472" w:type="dxa"/>
            <w:vAlign w:val="center"/>
          </w:tcPr>
          <w:p w14:paraId="16A845B2" w14:textId="77777777" w:rsidR="00D64599" w:rsidRDefault="00D64599" w:rsidP="00D64599">
            <w:pPr>
              <w:jc w:val="both"/>
              <w:rPr>
                <w:rFonts w:ascii="Open Sans" w:hAnsi="Open Sans" w:cs="Open Sans"/>
                <w:sz w:val="20"/>
                <w:szCs w:val="20"/>
              </w:rPr>
            </w:pPr>
            <w:r>
              <w:rPr>
                <w:rFonts w:ascii="Open Sans" w:hAnsi="Open Sans" w:cs="Open Sans"/>
                <w:sz w:val="20"/>
                <w:szCs w:val="20"/>
              </w:rPr>
              <w:t>Los 3,</w:t>
            </w:r>
          </w:p>
          <w:p w14:paraId="62D99B95" w14:textId="2F4B1812" w:rsidR="00CF2262" w:rsidRDefault="009C60D9" w:rsidP="002008FD">
            <w:pPr>
              <w:jc w:val="both"/>
              <w:rPr>
                <w:rFonts w:ascii="Open Sans" w:hAnsi="Open Sans" w:cs="Open Sans"/>
                <w:sz w:val="20"/>
                <w:szCs w:val="20"/>
              </w:rPr>
            </w:pPr>
            <w:r>
              <w:rPr>
                <w:rFonts w:ascii="Open Sans" w:hAnsi="Open Sans" w:cs="Open Sans"/>
                <w:sz w:val="20"/>
                <w:szCs w:val="20"/>
              </w:rPr>
              <w:t>Leistungsverzeichnis, Türen</w:t>
            </w:r>
          </w:p>
        </w:tc>
        <w:tc>
          <w:tcPr>
            <w:tcW w:w="4949" w:type="dxa"/>
            <w:vAlign w:val="center"/>
          </w:tcPr>
          <w:p w14:paraId="51327E04" w14:textId="3390C146" w:rsidR="00CF2262" w:rsidRPr="002008FD" w:rsidRDefault="009C60D9" w:rsidP="002008FD">
            <w:pPr>
              <w:rPr>
                <w:rFonts w:ascii="Open Sans" w:hAnsi="Open Sans" w:cs="Open Sans"/>
                <w:bCs/>
                <w:sz w:val="20"/>
                <w:szCs w:val="20"/>
              </w:rPr>
            </w:pPr>
            <w:r w:rsidRPr="009C60D9">
              <w:rPr>
                <w:rFonts w:ascii="Open Sans" w:hAnsi="Open Sans" w:cs="Open Sans"/>
                <w:bCs/>
                <w:sz w:val="20"/>
                <w:szCs w:val="20"/>
              </w:rPr>
              <w:t xml:space="preserve">ergänzend zu dem Punkt Türen: In Ihren Ausführungsplänen sind bauseitige Vorderwände an den Türzugängen gezeichnet. So wie von uns </w:t>
            </w:r>
            <w:r w:rsidRPr="009C60D9">
              <w:rPr>
                <w:rFonts w:ascii="Open Sans" w:hAnsi="Open Sans" w:cs="Open Sans"/>
                <w:bCs/>
                <w:sz w:val="20"/>
                <w:szCs w:val="20"/>
              </w:rPr>
              <w:lastRenderedPageBreak/>
              <w:t>vorgeschlagen, jedoch abweichend zu den ausgeschriebenen Portaltüren, welche die gesamte Vorderwand verschließen sollen.</w:t>
            </w:r>
          </w:p>
        </w:tc>
        <w:tc>
          <w:tcPr>
            <w:tcW w:w="1559" w:type="dxa"/>
            <w:vAlign w:val="center"/>
          </w:tcPr>
          <w:p w14:paraId="191945F5" w14:textId="183056A6" w:rsidR="00CF2262" w:rsidRDefault="009C60D9" w:rsidP="002008FD">
            <w:pPr>
              <w:jc w:val="both"/>
              <w:rPr>
                <w:rFonts w:ascii="Open Sans" w:hAnsi="Open Sans" w:cs="Open Sans"/>
                <w:sz w:val="20"/>
                <w:szCs w:val="20"/>
              </w:rPr>
            </w:pPr>
            <w:r>
              <w:rPr>
                <w:rFonts w:ascii="Open Sans" w:hAnsi="Open Sans" w:cs="Open Sans"/>
                <w:sz w:val="20"/>
                <w:szCs w:val="20"/>
              </w:rPr>
              <w:lastRenderedPageBreak/>
              <w:t>11.10.2024</w:t>
            </w:r>
          </w:p>
        </w:tc>
        <w:tc>
          <w:tcPr>
            <w:tcW w:w="5088" w:type="dxa"/>
            <w:vAlign w:val="center"/>
          </w:tcPr>
          <w:p w14:paraId="799D8E0F" w14:textId="2A443F01" w:rsidR="00CF2262" w:rsidRPr="00710E1B" w:rsidRDefault="009C60D9" w:rsidP="002008FD">
            <w:pPr>
              <w:rPr>
                <w:rFonts w:ascii="Open Sans" w:hAnsi="Open Sans" w:cs="Open Sans"/>
                <w:iCs/>
                <w:color w:val="FF0000"/>
                <w:sz w:val="20"/>
                <w:szCs w:val="20"/>
              </w:rPr>
            </w:pPr>
            <w:r w:rsidRPr="00710E1B">
              <w:rPr>
                <w:rFonts w:ascii="Open Sans" w:hAnsi="Open Sans" w:cs="Open Sans"/>
                <w:color w:val="FF0000"/>
                <w:sz w:val="20"/>
                <w:szCs w:val="20"/>
              </w:rPr>
              <w:t>In Abweichung von den Vorgaben im Leistungsverzeichnis ist alternativ auch eine zweiteilige Tür möglich.</w:t>
            </w:r>
          </w:p>
        </w:tc>
      </w:tr>
    </w:tbl>
    <w:p w14:paraId="022C726C" w14:textId="77777777" w:rsidR="0013777A" w:rsidRPr="005C2439" w:rsidRDefault="0013777A">
      <w:pPr>
        <w:rPr>
          <w:rFonts w:ascii="Open Sans" w:hAnsi="Open Sans" w:cs="Open Sans"/>
          <w:sz w:val="2"/>
          <w:szCs w:val="2"/>
        </w:rPr>
      </w:pPr>
    </w:p>
    <w:sectPr w:rsidR="0013777A" w:rsidRPr="005C2439" w:rsidSect="00E12735">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DE09C" w14:textId="77777777" w:rsidR="00AA36A9" w:rsidRDefault="00AA36A9" w:rsidP="000E18B6">
      <w:pPr>
        <w:spacing w:after="0" w:line="240" w:lineRule="auto"/>
      </w:pPr>
      <w:r>
        <w:separator/>
      </w:r>
    </w:p>
  </w:endnote>
  <w:endnote w:type="continuationSeparator" w:id="0">
    <w:p w14:paraId="5EA3B72A" w14:textId="77777777" w:rsidR="00AA36A9" w:rsidRDefault="00AA36A9" w:rsidP="000E18B6">
      <w:pPr>
        <w:spacing w:after="0" w:line="240" w:lineRule="auto"/>
      </w:pPr>
      <w:r>
        <w:continuationSeparator/>
      </w:r>
    </w:p>
  </w:endnote>
  <w:endnote w:type="continuationNotice" w:id="1">
    <w:p w14:paraId="7FC69E21" w14:textId="77777777" w:rsidR="00AA36A9" w:rsidRDefault="00AA36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FBF5F" w14:textId="77777777" w:rsidR="002E3CFE" w:rsidRDefault="002E3C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70CED" w14:textId="4FD7C9C3" w:rsidR="002A6768" w:rsidRDefault="00F8276A" w:rsidP="00E12735">
    <w:pPr>
      <w:pBdr>
        <w:top w:val="single" w:sz="4" w:space="1" w:color="auto"/>
      </w:pBdr>
      <w:tabs>
        <w:tab w:val="right" w:pos="14570"/>
      </w:tabs>
      <w:spacing w:after="0" w:line="240" w:lineRule="auto"/>
      <w:jc w:val="both"/>
    </w:pPr>
    <w:r w:rsidRPr="00F8276A">
      <w:rPr>
        <w:rFonts w:ascii="Open Sans" w:eastAsia="Calibri" w:hAnsi="Open Sans" w:cs="Open Sans"/>
        <w:i/>
        <w:sz w:val="16"/>
        <w:szCs w:val="16"/>
      </w:rPr>
      <w:t>B.6_</w:t>
    </w:r>
    <w:r w:rsidR="005C2439">
      <w:rPr>
        <w:rFonts w:ascii="Open Sans" w:eastAsia="Calibri" w:hAnsi="Open Sans" w:cs="Open Sans"/>
        <w:i/>
        <w:sz w:val="16"/>
        <w:szCs w:val="16"/>
      </w:rPr>
      <w:t>F</w:t>
    </w:r>
    <w:r w:rsidR="002672EB">
      <w:rPr>
        <w:rFonts w:ascii="Open Sans" w:eastAsia="Calibri" w:hAnsi="Open Sans" w:cs="Open Sans"/>
        <w:i/>
        <w:sz w:val="16"/>
        <w:szCs w:val="16"/>
      </w:rPr>
      <w:t>ragenkatalog</w:t>
    </w:r>
    <w:r w:rsidR="00CA57FF" w:rsidRPr="00CA57FF">
      <w:rPr>
        <w:rFonts w:ascii="Open Sans" w:eastAsia="Calibri" w:hAnsi="Open Sans" w:cs="Arial"/>
        <w:i/>
        <w:sz w:val="16"/>
        <w:szCs w:val="16"/>
      </w:rPr>
      <w:tab/>
      <w:t xml:space="preserve">Seite </w:t>
    </w:r>
    <w:r w:rsidR="00CA57FF" w:rsidRPr="00CA57FF">
      <w:rPr>
        <w:rFonts w:ascii="Open Sans" w:eastAsia="Calibri" w:hAnsi="Open Sans" w:cs="Arial"/>
        <w:i/>
        <w:sz w:val="16"/>
        <w:szCs w:val="16"/>
      </w:rPr>
      <w:fldChar w:fldCharType="begin"/>
    </w:r>
    <w:r w:rsidR="00CA57FF" w:rsidRPr="00CA57FF">
      <w:rPr>
        <w:rFonts w:ascii="Open Sans" w:eastAsia="Calibri" w:hAnsi="Open Sans" w:cs="Arial"/>
        <w:i/>
        <w:sz w:val="16"/>
        <w:szCs w:val="16"/>
      </w:rPr>
      <w:instrText xml:space="preserve"> PAGE </w:instrText>
    </w:r>
    <w:r w:rsidR="00CA57FF" w:rsidRPr="00CA57FF">
      <w:rPr>
        <w:rFonts w:ascii="Open Sans" w:eastAsia="Calibri" w:hAnsi="Open Sans" w:cs="Arial"/>
        <w:i/>
        <w:sz w:val="16"/>
        <w:szCs w:val="16"/>
      </w:rPr>
      <w:fldChar w:fldCharType="separate"/>
    </w:r>
    <w:r w:rsidR="00CA57FF" w:rsidRPr="00CA57FF">
      <w:rPr>
        <w:rFonts w:ascii="Calibri" w:eastAsia="DengXian" w:hAnsi="Calibri" w:cs="Arial"/>
        <w:i/>
        <w:sz w:val="16"/>
        <w:szCs w:val="16"/>
        <w:lang w:eastAsia="de-DE"/>
      </w:rPr>
      <w:t>2</w:t>
    </w:r>
    <w:r w:rsidR="00CA57FF" w:rsidRPr="00CA57FF">
      <w:rPr>
        <w:rFonts w:ascii="Open Sans" w:eastAsia="Calibri" w:hAnsi="Open Sans" w:cs="Arial"/>
        <w:i/>
        <w:sz w:val="16"/>
        <w:szCs w:val="16"/>
      </w:rPr>
      <w:fldChar w:fldCharType="end"/>
    </w:r>
    <w:r w:rsidR="00CA57FF" w:rsidRPr="00CA57FF">
      <w:rPr>
        <w:rFonts w:ascii="Open Sans" w:eastAsia="Calibri" w:hAnsi="Open Sans" w:cs="Arial"/>
        <w:i/>
        <w:sz w:val="16"/>
        <w:szCs w:val="16"/>
      </w:rPr>
      <w:t xml:space="preserve"> von </w:t>
    </w:r>
    <w:r w:rsidR="00CA57FF" w:rsidRPr="00CA57FF">
      <w:rPr>
        <w:rFonts w:ascii="Open Sans" w:eastAsia="Calibri" w:hAnsi="Open Sans" w:cs="Arial"/>
        <w:i/>
        <w:sz w:val="16"/>
        <w:szCs w:val="16"/>
      </w:rPr>
      <w:fldChar w:fldCharType="begin"/>
    </w:r>
    <w:r w:rsidR="00CA57FF" w:rsidRPr="00CA57FF">
      <w:rPr>
        <w:rFonts w:ascii="Open Sans" w:eastAsia="Calibri" w:hAnsi="Open Sans" w:cs="Arial"/>
        <w:i/>
        <w:sz w:val="16"/>
        <w:szCs w:val="16"/>
      </w:rPr>
      <w:instrText xml:space="preserve"> NUMPAGES </w:instrText>
    </w:r>
    <w:r w:rsidR="00CA57FF" w:rsidRPr="00CA57FF">
      <w:rPr>
        <w:rFonts w:ascii="Open Sans" w:eastAsia="Calibri" w:hAnsi="Open Sans" w:cs="Arial"/>
        <w:i/>
        <w:sz w:val="16"/>
        <w:szCs w:val="16"/>
      </w:rPr>
      <w:fldChar w:fldCharType="separate"/>
    </w:r>
    <w:r w:rsidR="00CA57FF" w:rsidRPr="00CA57FF">
      <w:rPr>
        <w:rFonts w:ascii="Calibri" w:eastAsia="DengXian" w:hAnsi="Calibri" w:cs="Arial"/>
        <w:i/>
        <w:sz w:val="16"/>
        <w:szCs w:val="16"/>
        <w:lang w:eastAsia="de-DE"/>
      </w:rPr>
      <w:t>38</w:t>
    </w:r>
    <w:r w:rsidR="00CA57FF" w:rsidRPr="00CA57FF">
      <w:rPr>
        <w:rFonts w:ascii="Open Sans" w:eastAsia="Calibri" w:hAnsi="Open Sans" w:cs="Arial"/>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200AF" w14:textId="77777777" w:rsidR="002E3CFE" w:rsidRDefault="002E3C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684AB" w14:textId="77777777" w:rsidR="00AA36A9" w:rsidRDefault="00AA36A9" w:rsidP="000E18B6">
      <w:pPr>
        <w:spacing w:after="0" w:line="240" w:lineRule="auto"/>
      </w:pPr>
      <w:r>
        <w:separator/>
      </w:r>
    </w:p>
  </w:footnote>
  <w:footnote w:type="continuationSeparator" w:id="0">
    <w:p w14:paraId="2C241109" w14:textId="77777777" w:rsidR="00AA36A9" w:rsidRDefault="00AA36A9" w:rsidP="000E18B6">
      <w:pPr>
        <w:spacing w:after="0" w:line="240" w:lineRule="auto"/>
      </w:pPr>
      <w:r>
        <w:continuationSeparator/>
      </w:r>
    </w:p>
  </w:footnote>
  <w:footnote w:type="continuationNotice" w:id="1">
    <w:p w14:paraId="02E92101" w14:textId="77777777" w:rsidR="00AA36A9" w:rsidRDefault="00AA36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0593B" w14:textId="77777777" w:rsidR="002E3CFE" w:rsidRDefault="002E3C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601" w:type="dxa"/>
      <w:tblInd w:w="-5" w:type="dxa"/>
      <w:tblBorders>
        <w:top w:val="single" w:sz="4" w:space="0" w:color="auto"/>
        <w:left w:val="single" w:sz="4" w:space="0" w:color="auto"/>
        <w:bottom w:val="single" w:sz="4" w:space="0" w:color="auto"/>
        <w:right w:val="single" w:sz="4" w:space="0" w:color="auto"/>
        <w:insideV w:val="single" w:sz="2" w:space="0" w:color="auto"/>
      </w:tblBorders>
      <w:tblLayout w:type="fixed"/>
      <w:tblLook w:val="01E0" w:firstRow="1" w:lastRow="1" w:firstColumn="1" w:lastColumn="1" w:noHBand="0" w:noVBand="0"/>
    </w:tblPr>
    <w:tblGrid>
      <w:gridCol w:w="2127"/>
      <w:gridCol w:w="10489"/>
      <w:gridCol w:w="1985"/>
    </w:tblGrid>
    <w:tr w:rsidR="005C2439" w:rsidRPr="004B1657" w14:paraId="3220C855" w14:textId="77777777" w:rsidTr="00ED4D0B">
      <w:trPr>
        <w:cantSplit/>
        <w:trHeight w:val="1287"/>
      </w:trPr>
      <w:tc>
        <w:tcPr>
          <w:tcW w:w="2127" w:type="dxa"/>
          <w:shd w:val="clear" w:color="auto" w:fill="auto"/>
          <w:vAlign w:val="center"/>
        </w:tcPr>
        <w:p w14:paraId="3D5A1356" w14:textId="77777777" w:rsidR="005C2439" w:rsidRPr="004B1657" w:rsidRDefault="005C2439" w:rsidP="005C2439">
          <w:pPr>
            <w:tabs>
              <w:tab w:val="center" w:pos="4536"/>
              <w:tab w:val="right" w:pos="9072"/>
            </w:tabs>
            <w:spacing w:after="0" w:line="240" w:lineRule="auto"/>
            <w:jc w:val="center"/>
            <w:rPr>
              <w:rFonts w:ascii="Open Sans" w:eastAsia="Times New Roman" w:hAnsi="Open Sans" w:cs="Open Sans"/>
              <w:sz w:val="18"/>
              <w:szCs w:val="18"/>
              <w:lang w:eastAsia="de-DE"/>
            </w:rPr>
          </w:pPr>
          <w:bookmarkStart w:id="0" w:name="_Hlk132454293"/>
          <w:r w:rsidRPr="004B1657">
            <w:rPr>
              <w:rFonts w:ascii="Open Sans" w:eastAsia="Times New Roman" w:hAnsi="Open Sans" w:cs="Open Sans"/>
              <w:noProof/>
              <w:sz w:val="18"/>
              <w:szCs w:val="18"/>
              <w:lang w:eastAsia="de-DE"/>
            </w:rPr>
            <w:drawing>
              <wp:inline distT="0" distB="0" distL="0" distR="0" wp14:anchorId="0345D6C0" wp14:editId="294C2CBD">
                <wp:extent cx="1213485" cy="342265"/>
                <wp:effectExtent l="0" t="0" r="5715" b="635"/>
                <wp:docPr id="1398937278" name="Grafik 2" descr="Ein Bild, das Grafiken, Screenshot, Grafik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937278" name="Grafik 2" descr="Ein Bild, das Grafiken, Screenshot, Grafikdesign,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3485" cy="342265"/>
                        </a:xfrm>
                        <a:prstGeom prst="rect">
                          <a:avLst/>
                        </a:prstGeom>
                      </pic:spPr>
                    </pic:pic>
                  </a:graphicData>
                </a:graphic>
              </wp:inline>
            </w:drawing>
          </w:r>
        </w:p>
      </w:tc>
      <w:tc>
        <w:tcPr>
          <w:tcW w:w="10489" w:type="dxa"/>
          <w:shd w:val="clear" w:color="auto" w:fill="auto"/>
          <w:vAlign w:val="center"/>
        </w:tcPr>
        <w:p w14:paraId="43A4A761" w14:textId="77777777" w:rsidR="005C2439" w:rsidRPr="004B1657" w:rsidRDefault="005C2439" w:rsidP="005C2439">
          <w:pPr>
            <w:spacing w:after="0" w:line="240" w:lineRule="auto"/>
            <w:jc w:val="center"/>
            <w:rPr>
              <w:rFonts w:ascii="Open Sans" w:eastAsia="Times New Roman" w:hAnsi="Open Sans" w:cs="Open Sans"/>
              <w:sz w:val="18"/>
              <w:szCs w:val="18"/>
              <w:lang w:eastAsia="de-DE"/>
            </w:rPr>
          </w:pPr>
          <w:r w:rsidRPr="004B1657">
            <w:rPr>
              <w:rFonts w:ascii="Open Sans" w:eastAsia="Times New Roman" w:hAnsi="Open Sans" w:cs="Open Sans"/>
              <w:sz w:val="18"/>
              <w:szCs w:val="18"/>
              <w:lang w:eastAsia="de-DE"/>
            </w:rPr>
            <w:t>Gemeinde Teutschenthal</w:t>
          </w:r>
        </w:p>
        <w:p w14:paraId="1EB6059D" w14:textId="03C3ECC2" w:rsidR="005C2439" w:rsidRPr="004B1657" w:rsidRDefault="005C2439" w:rsidP="005C2439">
          <w:pPr>
            <w:spacing w:after="0" w:line="240" w:lineRule="auto"/>
            <w:jc w:val="center"/>
            <w:rPr>
              <w:rFonts w:ascii="Open Sans" w:eastAsia="Times New Roman" w:hAnsi="Open Sans" w:cs="Open Sans"/>
              <w:sz w:val="18"/>
              <w:szCs w:val="18"/>
              <w:lang w:eastAsia="de-DE"/>
            </w:rPr>
          </w:pPr>
          <w:r w:rsidRPr="004B1657">
            <w:rPr>
              <w:rFonts w:ascii="Open Sans" w:eastAsia="Times New Roman" w:hAnsi="Open Sans" w:cs="Open Sans"/>
              <w:sz w:val="18"/>
              <w:szCs w:val="18"/>
              <w:lang w:eastAsia="de-DE"/>
            </w:rPr>
            <w:t>368/23 – Neubau Kita Angersdorf</w:t>
          </w:r>
        </w:p>
        <w:p w14:paraId="4802158D" w14:textId="51267FD1" w:rsidR="005C2439" w:rsidRPr="004B1657" w:rsidRDefault="005C2439" w:rsidP="005C2439">
          <w:pPr>
            <w:spacing w:after="0" w:line="240" w:lineRule="auto"/>
            <w:jc w:val="center"/>
            <w:rPr>
              <w:rFonts w:ascii="Open Sans" w:eastAsia="Times New Roman" w:hAnsi="Open Sans" w:cs="Open Sans"/>
              <w:sz w:val="18"/>
              <w:szCs w:val="18"/>
              <w:lang w:eastAsia="de-DE"/>
            </w:rPr>
          </w:pPr>
          <w:r w:rsidRPr="005C2439">
            <w:rPr>
              <w:rFonts w:ascii="Open Sans" w:eastAsia="Times New Roman" w:hAnsi="Open Sans" w:cs="Open Sans"/>
              <w:sz w:val="18"/>
              <w:szCs w:val="18"/>
              <w:lang w:eastAsia="de-DE"/>
            </w:rPr>
            <w:t>B.6_Fragenkatalog</w:t>
          </w:r>
        </w:p>
        <w:p w14:paraId="1301A0EF" w14:textId="77777777" w:rsidR="005C2439" w:rsidRPr="004B1657" w:rsidRDefault="005C2439" w:rsidP="005C2439">
          <w:pPr>
            <w:spacing w:before="60" w:after="60" w:line="240" w:lineRule="auto"/>
            <w:jc w:val="center"/>
            <w:rPr>
              <w:rFonts w:ascii="Open Sans" w:eastAsia="Times New Roman" w:hAnsi="Open Sans" w:cs="Open Sans"/>
              <w:i/>
              <w:iCs/>
              <w:sz w:val="18"/>
              <w:szCs w:val="18"/>
              <w:lang w:eastAsia="de-DE"/>
            </w:rPr>
          </w:pPr>
          <w:r w:rsidRPr="004B1657">
            <w:rPr>
              <w:rFonts w:ascii="Open Sans" w:eastAsia="Times New Roman" w:hAnsi="Open Sans" w:cs="Open Sans"/>
              <w:sz w:val="14"/>
              <w:szCs w:val="14"/>
              <w:lang w:eastAsia="de-DE"/>
            </w:rPr>
            <w:t>Offenes Verfahren gem. § 3 EU Abs. 1 Nr. 1 VOB/A</w:t>
          </w:r>
        </w:p>
      </w:tc>
      <w:tc>
        <w:tcPr>
          <w:tcW w:w="1985" w:type="dxa"/>
          <w:shd w:val="clear" w:color="auto" w:fill="auto"/>
          <w:vAlign w:val="center"/>
        </w:tcPr>
        <w:p w14:paraId="4087BB14" w14:textId="77777777" w:rsidR="005C2439" w:rsidRPr="004B1657" w:rsidRDefault="005C2439" w:rsidP="005C2439">
          <w:pPr>
            <w:spacing w:after="0" w:line="240" w:lineRule="auto"/>
            <w:jc w:val="center"/>
            <w:rPr>
              <w:rFonts w:ascii="Open Sans" w:eastAsia="Times New Roman" w:hAnsi="Open Sans" w:cs="Open Sans"/>
              <w:sz w:val="18"/>
              <w:szCs w:val="18"/>
              <w:lang w:eastAsia="de-DE"/>
            </w:rPr>
          </w:pPr>
          <w:r w:rsidRPr="004B1657">
            <w:rPr>
              <w:rFonts w:ascii="Open Sans" w:eastAsia="Times New Roman" w:hAnsi="Open Sans" w:cs="Open Sans"/>
              <w:noProof/>
              <w:sz w:val="18"/>
              <w:szCs w:val="18"/>
              <w:lang w:eastAsia="de-DE"/>
            </w:rPr>
            <w:drawing>
              <wp:anchor distT="0" distB="0" distL="114300" distR="114300" simplePos="0" relativeHeight="251659264" behindDoc="0" locked="0" layoutInCell="1" allowOverlap="1" wp14:anchorId="6A5D0FD9" wp14:editId="0F35E9BA">
                <wp:simplePos x="0" y="0"/>
                <wp:positionH relativeFrom="column">
                  <wp:posOffset>79375</wp:posOffset>
                </wp:positionH>
                <wp:positionV relativeFrom="paragraph">
                  <wp:posOffset>-10795</wp:posOffset>
                </wp:positionV>
                <wp:extent cx="968375" cy="302895"/>
                <wp:effectExtent l="0" t="0" r="3175" b="1905"/>
                <wp:wrapNone/>
                <wp:docPr id="197219364" name="Grafik 3"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28035" name="Grafik 3" descr="Ein Bild, das Schrift, Grafiken, Logo, Symbo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968375" cy="302895"/>
                        </a:xfrm>
                        <a:prstGeom prst="rect">
                          <a:avLst/>
                        </a:prstGeom>
                      </pic:spPr>
                    </pic:pic>
                  </a:graphicData>
                </a:graphic>
                <wp14:sizeRelH relativeFrom="margin">
                  <wp14:pctWidth>0</wp14:pctWidth>
                </wp14:sizeRelH>
                <wp14:sizeRelV relativeFrom="margin">
                  <wp14:pctHeight>0</wp14:pctHeight>
                </wp14:sizeRelV>
              </wp:anchor>
            </w:drawing>
          </w:r>
        </w:p>
      </w:tc>
    </w:tr>
    <w:bookmarkEnd w:id="0"/>
  </w:tbl>
  <w:p w14:paraId="350DC9ED" w14:textId="77777777" w:rsidR="000E18B6" w:rsidRPr="005C2439" w:rsidRDefault="000E18B6" w:rsidP="005C243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3053B" w14:textId="77777777" w:rsidR="002E3CFE" w:rsidRDefault="002E3CF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9A"/>
    <w:rsid w:val="00033C7E"/>
    <w:rsid w:val="000842F5"/>
    <w:rsid w:val="00084504"/>
    <w:rsid w:val="00095AC1"/>
    <w:rsid w:val="000A391B"/>
    <w:rsid w:val="000D1832"/>
    <w:rsid w:val="000E18B6"/>
    <w:rsid w:val="000F1E7C"/>
    <w:rsid w:val="001145EF"/>
    <w:rsid w:val="00117CC1"/>
    <w:rsid w:val="0013777A"/>
    <w:rsid w:val="00172331"/>
    <w:rsid w:val="0017236F"/>
    <w:rsid w:val="00182DEF"/>
    <w:rsid w:val="0018530E"/>
    <w:rsid w:val="001E1F13"/>
    <w:rsid w:val="001E717D"/>
    <w:rsid w:val="002008FD"/>
    <w:rsid w:val="00210B1A"/>
    <w:rsid w:val="00231F3E"/>
    <w:rsid w:val="00240CA5"/>
    <w:rsid w:val="00262A74"/>
    <w:rsid w:val="002672EB"/>
    <w:rsid w:val="0027208E"/>
    <w:rsid w:val="0028189A"/>
    <w:rsid w:val="00296882"/>
    <w:rsid w:val="002A08FC"/>
    <w:rsid w:val="002A6768"/>
    <w:rsid w:val="002C42C4"/>
    <w:rsid w:val="002C6839"/>
    <w:rsid w:val="002E3CFE"/>
    <w:rsid w:val="002E4984"/>
    <w:rsid w:val="002F1EE3"/>
    <w:rsid w:val="00301CE6"/>
    <w:rsid w:val="00331F05"/>
    <w:rsid w:val="00340F19"/>
    <w:rsid w:val="003622D3"/>
    <w:rsid w:val="00394386"/>
    <w:rsid w:val="003D7F27"/>
    <w:rsid w:val="0040633E"/>
    <w:rsid w:val="004150B0"/>
    <w:rsid w:val="00421E86"/>
    <w:rsid w:val="00426AB1"/>
    <w:rsid w:val="004314AB"/>
    <w:rsid w:val="00431563"/>
    <w:rsid w:val="00433C6C"/>
    <w:rsid w:val="00494CB9"/>
    <w:rsid w:val="004A598E"/>
    <w:rsid w:val="004B1C62"/>
    <w:rsid w:val="004C341D"/>
    <w:rsid w:val="004D3043"/>
    <w:rsid w:val="004E2782"/>
    <w:rsid w:val="004F3D79"/>
    <w:rsid w:val="0051294C"/>
    <w:rsid w:val="00534B37"/>
    <w:rsid w:val="00542A48"/>
    <w:rsid w:val="00570891"/>
    <w:rsid w:val="00572E39"/>
    <w:rsid w:val="005A7F4F"/>
    <w:rsid w:val="005C2439"/>
    <w:rsid w:val="00603240"/>
    <w:rsid w:val="00622598"/>
    <w:rsid w:val="00663B14"/>
    <w:rsid w:val="006718C7"/>
    <w:rsid w:val="006757B2"/>
    <w:rsid w:val="006C6BCA"/>
    <w:rsid w:val="006D0FC9"/>
    <w:rsid w:val="00710E1B"/>
    <w:rsid w:val="007140BC"/>
    <w:rsid w:val="00714977"/>
    <w:rsid w:val="0072475E"/>
    <w:rsid w:val="00770C0A"/>
    <w:rsid w:val="00774E62"/>
    <w:rsid w:val="007D53BF"/>
    <w:rsid w:val="007D6E30"/>
    <w:rsid w:val="007E4AFB"/>
    <w:rsid w:val="0082684D"/>
    <w:rsid w:val="00830F06"/>
    <w:rsid w:val="00847074"/>
    <w:rsid w:val="0086184B"/>
    <w:rsid w:val="00870ED0"/>
    <w:rsid w:val="00875F3C"/>
    <w:rsid w:val="00877B0B"/>
    <w:rsid w:val="0088025B"/>
    <w:rsid w:val="00896089"/>
    <w:rsid w:val="008B586F"/>
    <w:rsid w:val="008C1152"/>
    <w:rsid w:val="008F6BC0"/>
    <w:rsid w:val="00942080"/>
    <w:rsid w:val="0096157B"/>
    <w:rsid w:val="009642F5"/>
    <w:rsid w:val="00970336"/>
    <w:rsid w:val="00977650"/>
    <w:rsid w:val="00981A3D"/>
    <w:rsid w:val="009854C2"/>
    <w:rsid w:val="00993071"/>
    <w:rsid w:val="0099545E"/>
    <w:rsid w:val="009C60D9"/>
    <w:rsid w:val="009E1EF7"/>
    <w:rsid w:val="009E72B8"/>
    <w:rsid w:val="009F368F"/>
    <w:rsid w:val="00A553F3"/>
    <w:rsid w:val="00A62EE4"/>
    <w:rsid w:val="00AA36A9"/>
    <w:rsid w:val="00AA3744"/>
    <w:rsid w:val="00AA6601"/>
    <w:rsid w:val="00AD4E34"/>
    <w:rsid w:val="00B30C48"/>
    <w:rsid w:val="00B36F55"/>
    <w:rsid w:val="00BB288C"/>
    <w:rsid w:val="00BB61B5"/>
    <w:rsid w:val="00C0142C"/>
    <w:rsid w:val="00C05316"/>
    <w:rsid w:val="00C10F9A"/>
    <w:rsid w:val="00C36673"/>
    <w:rsid w:val="00C645F7"/>
    <w:rsid w:val="00C817F1"/>
    <w:rsid w:val="00CA57FF"/>
    <w:rsid w:val="00CB589E"/>
    <w:rsid w:val="00CF2262"/>
    <w:rsid w:val="00CF40C8"/>
    <w:rsid w:val="00D05286"/>
    <w:rsid w:val="00D41BC5"/>
    <w:rsid w:val="00D5071E"/>
    <w:rsid w:val="00D5111A"/>
    <w:rsid w:val="00D64599"/>
    <w:rsid w:val="00D9641F"/>
    <w:rsid w:val="00DA2227"/>
    <w:rsid w:val="00DA3BF2"/>
    <w:rsid w:val="00DB500B"/>
    <w:rsid w:val="00DB685D"/>
    <w:rsid w:val="00DC0091"/>
    <w:rsid w:val="00DE64B8"/>
    <w:rsid w:val="00E12735"/>
    <w:rsid w:val="00E313B9"/>
    <w:rsid w:val="00E346E2"/>
    <w:rsid w:val="00EA1605"/>
    <w:rsid w:val="00EA1D9E"/>
    <w:rsid w:val="00EB4FB3"/>
    <w:rsid w:val="00EB633C"/>
    <w:rsid w:val="00EC04EF"/>
    <w:rsid w:val="00ED5C50"/>
    <w:rsid w:val="00EF1C81"/>
    <w:rsid w:val="00F04C6D"/>
    <w:rsid w:val="00F06BE1"/>
    <w:rsid w:val="00F22B44"/>
    <w:rsid w:val="00F37AD9"/>
    <w:rsid w:val="00F43B4E"/>
    <w:rsid w:val="00F46BBD"/>
    <w:rsid w:val="00F47574"/>
    <w:rsid w:val="00F67027"/>
    <w:rsid w:val="00F7137E"/>
    <w:rsid w:val="00F8276A"/>
    <w:rsid w:val="00F9063D"/>
    <w:rsid w:val="00FA0981"/>
    <w:rsid w:val="00FB3ED1"/>
    <w:rsid w:val="00FB4219"/>
    <w:rsid w:val="00FF42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A1757"/>
  <w15:chartTrackingRefBased/>
  <w15:docId w15:val="{501156B9-E8B8-453C-838C-0F83FEB4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81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ark">
    <w:name w:val="timark"/>
    <w:basedOn w:val="Absatz-Standardschriftart"/>
    <w:rsid w:val="00942080"/>
  </w:style>
  <w:style w:type="paragraph" w:styleId="Kopfzeile">
    <w:name w:val="header"/>
    <w:aliases w:val="Kopfzeile Char Char"/>
    <w:basedOn w:val="Standard"/>
    <w:link w:val="KopfzeileZchn"/>
    <w:unhideWhenUsed/>
    <w:rsid w:val="000E18B6"/>
    <w:pPr>
      <w:tabs>
        <w:tab w:val="center" w:pos="4536"/>
        <w:tab w:val="right" w:pos="9072"/>
      </w:tabs>
      <w:spacing w:after="0" w:line="240" w:lineRule="auto"/>
    </w:pPr>
  </w:style>
  <w:style w:type="character" w:customStyle="1" w:styleId="KopfzeileZchn">
    <w:name w:val="Kopfzeile Zchn"/>
    <w:aliases w:val="Kopfzeile Char Char Zchn"/>
    <w:basedOn w:val="Absatz-Standardschriftart"/>
    <w:link w:val="Kopfzeile"/>
    <w:rsid w:val="000E18B6"/>
  </w:style>
  <w:style w:type="paragraph" w:styleId="Fuzeile">
    <w:name w:val="footer"/>
    <w:basedOn w:val="Standard"/>
    <w:link w:val="FuzeileZchn"/>
    <w:uiPriority w:val="99"/>
    <w:unhideWhenUsed/>
    <w:rsid w:val="000E1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18B6"/>
  </w:style>
  <w:style w:type="character" w:styleId="Kommentarzeichen">
    <w:name w:val="annotation reference"/>
    <w:basedOn w:val="Absatz-Standardschriftart"/>
    <w:uiPriority w:val="99"/>
    <w:semiHidden/>
    <w:unhideWhenUsed/>
    <w:rsid w:val="002C6839"/>
    <w:rPr>
      <w:sz w:val="16"/>
      <w:szCs w:val="16"/>
    </w:rPr>
  </w:style>
  <w:style w:type="paragraph" w:styleId="Kommentartext">
    <w:name w:val="annotation text"/>
    <w:basedOn w:val="Standard"/>
    <w:link w:val="KommentartextZchn"/>
    <w:uiPriority w:val="99"/>
    <w:unhideWhenUsed/>
    <w:rsid w:val="002C6839"/>
    <w:pPr>
      <w:spacing w:line="240" w:lineRule="auto"/>
    </w:pPr>
    <w:rPr>
      <w:sz w:val="20"/>
      <w:szCs w:val="20"/>
    </w:rPr>
  </w:style>
  <w:style w:type="character" w:customStyle="1" w:styleId="KommentartextZchn">
    <w:name w:val="Kommentartext Zchn"/>
    <w:basedOn w:val="Absatz-Standardschriftart"/>
    <w:link w:val="Kommentartext"/>
    <w:uiPriority w:val="99"/>
    <w:rsid w:val="002C6839"/>
    <w:rPr>
      <w:sz w:val="20"/>
      <w:szCs w:val="20"/>
    </w:rPr>
  </w:style>
  <w:style w:type="paragraph" w:styleId="Kommentarthema">
    <w:name w:val="annotation subject"/>
    <w:basedOn w:val="Kommentartext"/>
    <w:next w:val="Kommentartext"/>
    <w:link w:val="KommentarthemaZchn"/>
    <w:uiPriority w:val="99"/>
    <w:semiHidden/>
    <w:unhideWhenUsed/>
    <w:rsid w:val="002C6839"/>
    <w:rPr>
      <w:b/>
      <w:bCs/>
    </w:rPr>
  </w:style>
  <w:style w:type="character" w:customStyle="1" w:styleId="KommentarthemaZchn">
    <w:name w:val="Kommentarthema Zchn"/>
    <w:basedOn w:val="KommentartextZchn"/>
    <w:link w:val="Kommentarthema"/>
    <w:uiPriority w:val="99"/>
    <w:semiHidden/>
    <w:rsid w:val="002C68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120916">
      <w:bodyDiv w:val="1"/>
      <w:marLeft w:val="0"/>
      <w:marRight w:val="0"/>
      <w:marTop w:val="0"/>
      <w:marBottom w:val="0"/>
      <w:divBdr>
        <w:top w:val="none" w:sz="0" w:space="0" w:color="auto"/>
        <w:left w:val="none" w:sz="0" w:space="0" w:color="auto"/>
        <w:bottom w:val="none" w:sz="0" w:space="0" w:color="auto"/>
        <w:right w:val="none" w:sz="0" w:space="0" w:color="auto"/>
      </w:divBdr>
    </w:div>
    <w:div w:id="533275331">
      <w:bodyDiv w:val="1"/>
      <w:marLeft w:val="0"/>
      <w:marRight w:val="0"/>
      <w:marTop w:val="0"/>
      <w:marBottom w:val="0"/>
      <w:divBdr>
        <w:top w:val="none" w:sz="0" w:space="0" w:color="auto"/>
        <w:left w:val="none" w:sz="0" w:space="0" w:color="auto"/>
        <w:bottom w:val="none" w:sz="0" w:space="0" w:color="auto"/>
        <w:right w:val="none" w:sz="0" w:space="0" w:color="auto"/>
      </w:divBdr>
    </w:div>
    <w:div w:id="543106133">
      <w:bodyDiv w:val="1"/>
      <w:marLeft w:val="0"/>
      <w:marRight w:val="0"/>
      <w:marTop w:val="0"/>
      <w:marBottom w:val="0"/>
      <w:divBdr>
        <w:top w:val="none" w:sz="0" w:space="0" w:color="auto"/>
        <w:left w:val="none" w:sz="0" w:space="0" w:color="auto"/>
        <w:bottom w:val="none" w:sz="0" w:space="0" w:color="auto"/>
        <w:right w:val="none" w:sz="0" w:space="0" w:color="auto"/>
      </w:divBdr>
    </w:div>
    <w:div w:id="633754354">
      <w:bodyDiv w:val="1"/>
      <w:marLeft w:val="0"/>
      <w:marRight w:val="0"/>
      <w:marTop w:val="0"/>
      <w:marBottom w:val="0"/>
      <w:divBdr>
        <w:top w:val="none" w:sz="0" w:space="0" w:color="auto"/>
        <w:left w:val="none" w:sz="0" w:space="0" w:color="auto"/>
        <w:bottom w:val="none" w:sz="0" w:space="0" w:color="auto"/>
        <w:right w:val="none" w:sz="0" w:space="0" w:color="auto"/>
      </w:divBdr>
    </w:div>
    <w:div w:id="1048723061">
      <w:bodyDiv w:val="1"/>
      <w:marLeft w:val="0"/>
      <w:marRight w:val="0"/>
      <w:marTop w:val="0"/>
      <w:marBottom w:val="0"/>
      <w:divBdr>
        <w:top w:val="none" w:sz="0" w:space="0" w:color="auto"/>
        <w:left w:val="none" w:sz="0" w:space="0" w:color="auto"/>
        <w:bottom w:val="none" w:sz="0" w:space="0" w:color="auto"/>
        <w:right w:val="none" w:sz="0" w:space="0" w:color="auto"/>
      </w:divBdr>
    </w:div>
    <w:div w:id="1401754220">
      <w:bodyDiv w:val="1"/>
      <w:marLeft w:val="0"/>
      <w:marRight w:val="0"/>
      <w:marTop w:val="0"/>
      <w:marBottom w:val="0"/>
      <w:divBdr>
        <w:top w:val="none" w:sz="0" w:space="0" w:color="auto"/>
        <w:left w:val="none" w:sz="0" w:space="0" w:color="auto"/>
        <w:bottom w:val="none" w:sz="0" w:space="0" w:color="auto"/>
        <w:right w:val="none" w:sz="0" w:space="0" w:color="auto"/>
      </w:divBdr>
    </w:div>
    <w:div w:id="1536195391">
      <w:bodyDiv w:val="1"/>
      <w:marLeft w:val="0"/>
      <w:marRight w:val="0"/>
      <w:marTop w:val="0"/>
      <w:marBottom w:val="0"/>
      <w:divBdr>
        <w:top w:val="none" w:sz="0" w:space="0" w:color="auto"/>
        <w:left w:val="none" w:sz="0" w:space="0" w:color="auto"/>
        <w:bottom w:val="none" w:sz="0" w:space="0" w:color="auto"/>
        <w:right w:val="none" w:sz="0" w:space="0" w:color="auto"/>
      </w:divBdr>
    </w:div>
    <w:div w:id="1553075632">
      <w:bodyDiv w:val="1"/>
      <w:marLeft w:val="0"/>
      <w:marRight w:val="0"/>
      <w:marTop w:val="0"/>
      <w:marBottom w:val="0"/>
      <w:divBdr>
        <w:top w:val="none" w:sz="0" w:space="0" w:color="auto"/>
        <w:left w:val="none" w:sz="0" w:space="0" w:color="auto"/>
        <w:bottom w:val="none" w:sz="0" w:space="0" w:color="auto"/>
        <w:right w:val="none" w:sz="0" w:space="0" w:color="auto"/>
      </w:divBdr>
    </w:div>
    <w:div w:id="1963028245">
      <w:bodyDiv w:val="1"/>
      <w:marLeft w:val="0"/>
      <w:marRight w:val="0"/>
      <w:marTop w:val="0"/>
      <w:marBottom w:val="0"/>
      <w:divBdr>
        <w:top w:val="none" w:sz="0" w:space="0" w:color="auto"/>
        <w:left w:val="none" w:sz="0" w:space="0" w:color="auto"/>
        <w:bottom w:val="none" w:sz="0" w:space="0" w:color="auto"/>
        <w:right w:val="none" w:sz="0" w:space="0" w:color="auto"/>
      </w:divBdr>
    </w:div>
    <w:div w:id="2080130410">
      <w:bodyDiv w:val="1"/>
      <w:marLeft w:val="0"/>
      <w:marRight w:val="0"/>
      <w:marTop w:val="0"/>
      <w:marBottom w:val="0"/>
      <w:divBdr>
        <w:top w:val="none" w:sz="0" w:space="0" w:color="auto"/>
        <w:left w:val="none" w:sz="0" w:space="0" w:color="auto"/>
        <w:bottom w:val="none" w:sz="0" w:space="0" w:color="auto"/>
        <w:right w:val="none" w:sz="0" w:space="0" w:color="auto"/>
      </w:divBdr>
    </w:div>
    <w:div w:id="211034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B5D7D34F35DA46ADB83CE8599A331F" ma:contentTypeVersion="14" ma:contentTypeDescription="Ein neues Dokument erstellen." ma:contentTypeScope="" ma:versionID="6d09a65beae0a88e5d579af08154fe63">
  <xsd:schema xmlns:xsd="http://www.w3.org/2001/XMLSchema" xmlns:xs="http://www.w3.org/2001/XMLSchema" xmlns:p="http://schemas.microsoft.com/office/2006/metadata/properties" xmlns:ns2="e80cc7b9-0f4e-4957-8974-96b1d71ab052" xmlns:ns3="7e10dbf0-aa16-434b-854a-70ab1961d183" targetNamespace="http://schemas.microsoft.com/office/2006/metadata/properties" ma:root="true" ma:fieldsID="e13323a77b994ffec03a691cd4aa9d60" ns2:_="" ns3:_="">
    <xsd:import namespace="e80cc7b9-0f4e-4957-8974-96b1d71ab052"/>
    <xsd:import namespace="7e10dbf0-aa16-434b-854a-70ab1961d1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cc7b9-0f4e-4957-8974-96b1d71ab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de20d9a7-0237-4881-a325-41f02ef2b52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0dbf0-aa16-434b-854a-70ab1961d1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71487b9-c954-4b10-8cd1-b1657d934a36}" ma:internalName="TaxCatchAll" ma:showField="CatchAllData" ma:web="7e10dbf0-aa16-434b-854a-70ab1961d18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0cc7b9-0f4e-4957-8974-96b1d71ab052">
      <Terms xmlns="http://schemas.microsoft.com/office/infopath/2007/PartnerControls"/>
    </lcf76f155ced4ddcb4097134ff3c332f>
    <TaxCatchAll xmlns="7e10dbf0-aa16-434b-854a-70ab1961d183" xsi:nil="true"/>
  </documentManagement>
</p:properties>
</file>

<file path=customXml/itemProps1.xml><?xml version="1.0" encoding="utf-8"?>
<ds:datastoreItem xmlns:ds="http://schemas.openxmlformats.org/officeDocument/2006/customXml" ds:itemID="{A240EDA6-882B-4B38-ACCA-4B783AA40CCE}">
  <ds:schemaRefs>
    <ds:schemaRef ds:uri="http://schemas.microsoft.com/sharepoint/v3/contenttype/forms"/>
  </ds:schemaRefs>
</ds:datastoreItem>
</file>

<file path=customXml/itemProps2.xml><?xml version="1.0" encoding="utf-8"?>
<ds:datastoreItem xmlns:ds="http://schemas.openxmlformats.org/officeDocument/2006/customXml" ds:itemID="{955E4A9C-2CF0-4703-B5A4-049BB3512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cc7b9-0f4e-4957-8974-96b1d71ab052"/>
    <ds:schemaRef ds:uri="7e10dbf0-aa16-434b-854a-70ab1961d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43D4CB-C500-4E46-99C7-4195F86839BA}">
  <ds:schemaRefs>
    <ds:schemaRef ds:uri="http://purl.org/dc/terms/"/>
    <ds:schemaRef ds:uri="7e10dbf0-aa16-434b-854a-70ab1961d183"/>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schemas.microsoft.com/office/2006/documentManagement/types"/>
    <ds:schemaRef ds:uri="e80cc7b9-0f4e-4957-8974-96b1d71ab05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952</Words>
  <Characters>6002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maxeiner@abante.de</dc:creator>
  <cp:keywords/>
  <dc:description/>
  <cp:lastModifiedBy>abante | RA Christian Schötzig</cp:lastModifiedBy>
  <cp:revision>5</cp:revision>
  <dcterms:created xsi:type="dcterms:W3CDTF">2024-10-11T11:02:00Z</dcterms:created>
  <dcterms:modified xsi:type="dcterms:W3CDTF">2024-10-16T09:48:00Z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0x010100502B600E576A9A42B17765365C00A6EA</vt:lpwstr>
  </property>
  <property fmtid="{D5CDD505-2E9C-101B-9397-08002B2CF9AE}" pid="3" name="MediaServiceImageTags">
    <vt:lpwstr/>
  </property>
</Properties>
</file>