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"/>
        <w:gridCol w:w="3458"/>
        <w:gridCol w:w="3634"/>
      </w:tblGrid>
      <w:tr w:rsidR="00156573" w:rsidTr="00BD4638">
        <w:tc>
          <w:tcPr>
            <w:tcW w:w="8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6573" w:rsidRDefault="00156573" w:rsidP="001B6060">
            <w:pPr>
              <w:rPr>
                <w:b/>
              </w:rPr>
            </w:pPr>
            <w:r>
              <w:rPr>
                <w:b/>
              </w:rPr>
              <w:t>Zusatz zum EVB-IT-Vertrag und seinen Anlagen</w:t>
            </w:r>
          </w:p>
          <w:p w:rsidR="00156573" w:rsidRDefault="00156573" w:rsidP="001B6060">
            <w:pPr>
              <w:rPr>
                <w:b/>
              </w:rPr>
            </w:pPr>
          </w:p>
          <w:p w:rsidR="00156573" w:rsidRPr="00060D80" w:rsidRDefault="00156573" w:rsidP="00156573">
            <w:pPr>
              <w:rPr>
                <w:b/>
              </w:rPr>
            </w:pPr>
            <w:r w:rsidRPr="00156573">
              <w:t>Die Antworten auf Bieterfragen aus vorhergehender aufgehobener Ausschreibung dienen der Erläuterung des EVB-IT-Vertrages und dessen Anlagen und sind von den Bieter</w:t>
            </w:r>
            <w:r>
              <w:t>n</w:t>
            </w:r>
            <w:r w:rsidRPr="00156573">
              <w:t xml:space="preserve"> zu beachten</w:t>
            </w:r>
            <w:r>
              <w:rPr>
                <w:b/>
              </w:rPr>
              <w:t>.</w:t>
            </w:r>
          </w:p>
        </w:tc>
      </w:tr>
      <w:tr w:rsidR="00156573" w:rsidTr="00331F89">
        <w:tc>
          <w:tcPr>
            <w:tcW w:w="8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6573" w:rsidRPr="00060D80" w:rsidRDefault="00156573" w:rsidP="001B6060">
            <w:pPr>
              <w:rPr>
                <w:b/>
              </w:rPr>
            </w:pPr>
          </w:p>
        </w:tc>
      </w:tr>
      <w:tr w:rsidR="00156573" w:rsidTr="00A65D1A">
        <w:trPr>
          <w:trHeight w:val="537"/>
        </w:trPr>
        <w:tc>
          <w:tcPr>
            <w:tcW w:w="8077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56573" w:rsidRPr="00060D80" w:rsidRDefault="00156573" w:rsidP="001B6060">
            <w:pPr>
              <w:rPr>
                <w:b/>
              </w:rPr>
            </w:pPr>
          </w:p>
        </w:tc>
      </w:tr>
      <w:tr w:rsidR="00156573" w:rsidTr="00156573">
        <w:tc>
          <w:tcPr>
            <w:tcW w:w="985" w:type="dxa"/>
            <w:tcBorders>
              <w:top w:val="nil"/>
            </w:tcBorders>
          </w:tcPr>
          <w:p w:rsidR="00156573" w:rsidRDefault="00156573" w:rsidP="00156573">
            <w:pPr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458" w:type="dxa"/>
            <w:tcBorders>
              <w:top w:val="nil"/>
            </w:tcBorders>
          </w:tcPr>
          <w:p w:rsidR="00156573" w:rsidRPr="00060D80" w:rsidRDefault="00156573" w:rsidP="00156573">
            <w:pPr>
              <w:rPr>
                <w:b/>
              </w:rPr>
            </w:pPr>
            <w:r>
              <w:rPr>
                <w:b/>
              </w:rPr>
              <w:t>Frage:</w:t>
            </w:r>
          </w:p>
        </w:tc>
        <w:tc>
          <w:tcPr>
            <w:tcW w:w="3634" w:type="dxa"/>
            <w:tcBorders>
              <w:top w:val="nil"/>
            </w:tcBorders>
          </w:tcPr>
          <w:p w:rsidR="00156573" w:rsidRPr="00060D80" w:rsidRDefault="00156573" w:rsidP="00156573">
            <w:pPr>
              <w:rPr>
                <w:b/>
              </w:rPr>
            </w:pPr>
            <w:r w:rsidRPr="00060D80">
              <w:rPr>
                <w:b/>
              </w:rPr>
              <w:t>Antwort:</w:t>
            </w:r>
          </w:p>
        </w:tc>
      </w:tr>
      <w:tr w:rsidR="00156573" w:rsidTr="00A91653">
        <w:tc>
          <w:tcPr>
            <w:tcW w:w="985" w:type="dxa"/>
            <w:shd w:val="clear" w:color="auto" w:fill="D0CECE" w:themeFill="background2" w:themeFillShade="E6"/>
          </w:tcPr>
          <w:p w:rsidR="00156573" w:rsidRPr="00060D80" w:rsidRDefault="00156573" w:rsidP="00156573">
            <w:pPr>
              <w:rPr>
                <w:b/>
              </w:rPr>
            </w:pPr>
          </w:p>
        </w:tc>
        <w:tc>
          <w:tcPr>
            <w:tcW w:w="7092" w:type="dxa"/>
            <w:gridSpan w:val="2"/>
            <w:shd w:val="clear" w:color="auto" w:fill="D0CECE" w:themeFill="background2" w:themeFillShade="E6"/>
          </w:tcPr>
          <w:p w:rsidR="00156573" w:rsidRPr="00060D80" w:rsidRDefault="00156573" w:rsidP="00156573">
            <w:pPr>
              <w:rPr>
                <w:b/>
              </w:rPr>
            </w:pPr>
            <w:r w:rsidRPr="00060D80">
              <w:rPr>
                <w:b/>
              </w:rPr>
              <w:t>Allgemein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1</w:t>
            </w:r>
          </w:p>
        </w:tc>
        <w:tc>
          <w:tcPr>
            <w:tcW w:w="3458" w:type="dxa"/>
          </w:tcPr>
          <w:p w:rsidR="00156573" w:rsidRDefault="00156573" w:rsidP="00156573">
            <w:r>
              <w:t>„</w:t>
            </w:r>
            <w:r>
              <w:t>I</w:t>
            </w:r>
            <w:r>
              <w:t>m Rahmen der vorliegenden Ausschreibung habe ich eine Frage zur Organisation der</w:t>
            </w:r>
          </w:p>
          <w:p w:rsidR="00156573" w:rsidRDefault="00156573" w:rsidP="00156573">
            <w:r>
              <w:t>Auftragsabwicklung. Könnten Sie bitte mitteilen, ob die Auftragsabwicklung zentral über ein</w:t>
            </w:r>
            <w:r>
              <w:t xml:space="preserve"> </w:t>
            </w:r>
            <w:r>
              <w:t>zentrales Team erfolgt oder ob diese für jeden Standort separat abgewickelt wird?</w:t>
            </w:r>
          </w:p>
        </w:tc>
        <w:tc>
          <w:tcPr>
            <w:tcW w:w="3634" w:type="dxa"/>
          </w:tcPr>
          <w:p w:rsidR="00156573" w:rsidRDefault="00156573" w:rsidP="00156573">
            <w:r>
              <w:t>Zentraler Ansprechpartner sind die Mitarbeitenden der AMEOS IT Services. Jede Beauftragung</w:t>
            </w:r>
            <w:r>
              <w:t xml:space="preserve"> </w:t>
            </w:r>
            <w:r>
              <w:t xml:space="preserve">erfolgt durch die </w:t>
            </w:r>
            <w:r>
              <w:t>a</w:t>
            </w:r>
            <w:r>
              <w:t>brufende Gesellschaft gemäß Anlage 1 Liste der Auftraggeber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2</w:t>
            </w:r>
          </w:p>
        </w:tc>
        <w:tc>
          <w:tcPr>
            <w:tcW w:w="3458" w:type="dxa"/>
          </w:tcPr>
          <w:p w:rsidR="00156573" w:rsidRDefault="00156573" w:rsidP="00156573">
            <w:r>
              <w:t>Wann startet der Betrieb des Projektes und gibt es eine Transitionsphase die vorgelagert</w:t>
            </w:r>
          </w:p>
          <w:p w:rsidR="00156573" w:rsidRDefault="00156573" w:rsidP="00156573">
            <w:r>
              <w:t>stattfindet? Wann findet die Transitionsphase statt?</w:t>
            </w:r>
          </w:p>
          <w:p w:rsidR="00156573" w:rsidRDefault="00156573" w:rsidP="00156573">
            <w:r>
              <w:t>Wie sehen die weiteren Phasen für die Angebotsvergabe aus? Gibt es einen Workshop</w:t>
            </w:r>
          </w:p>
          <w:p w:rsidR="00156573" w:rsidRDefault="00156573" w:rsidP="00156573">
            <w:r>
              <w:t>zusammen, um das Angebot und/oder das weitere Vorgehen zu besprechen? Wann findet</w:t>
            </w:r>
          </w:p>
          <w:p w:rsidR="00156573" w:rsidRDefault="00156573" w:rsidP="00156573">
            <w:r>
              <w:t>dieser Termin statt?</w:t>
            </w:r>
          </w:p>
        </w:tc>
        <w:tc>
          <w:tcPr>
            <w:tcW w:w="3634" w:type="dxa"/>
          </w:tcPr>
          <w:p w:rsidR="00156573" w:rsidRDefault="00156573" w:rsidP="00156573">
            <w:r>
              <w:t>Nach dem Zuschlag, beginnt die Transitionsphase und der Betrieb der Lösung muss bis</w:t>
            </w:r>
            <w:r>
              <w:t xml:space="preserve"> </w:t>
            </w:r>
            <w:r>
              <w:t>spätestens 31.12.2024 erfolgen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3</w:t>
            </w:r>
          </w:p>
        </w:tc>
        <w:tc>
          <w:tcPr>
            <w:tcW w:w="3458" w:type="dxa"/>
          </w:tcPr>
          <w:p w:rsidR="00156573" w:rsidRDefault="00156573" w:rsidP="00156573">
            <w:r>
              <w:t>Falls eine dezentrale Beauftragung erfolgt: bekommt der Auftragnehmer spätestens mit dem</w:t>
            </w:r>
            <w:r>
              <w:t xml:space="preserve"> </w:t>
            </w:r>
            <w:r>
              <w:t>ersten Abruf einen Schlüssel, wie die Kosten auf die einzelnen Gesellschaften verteilt werden</w:t>
            </w:r>
          </w:p>
          <w:p w:rsidR="00156573" w:rsidRDefault="00156573" w:rsidP="00156573">
            <w:r>
              <w:t>sollen und ist sichergestellt, dass die Anteile in Summe 100% (d.h. die komplette Pos. 1)</w:t>
            </w:r>
          </w:p>
          <w:p w:rsidR="00156573" w:rsidRDefault="00156573" w:rsidP="00156573">
            <w:r>
              <w:t>ergeben?</w:t>
            </w:r>
          </w:p>
        </w:tc>
        <w:tc>
          <w:tcPr>
            <w:tcW w:w="3634" w:type="dxa"/>
          </w:tcPr>
          <w:p w:rsidR="00156573" w:rsidRDefault="00156573" w:rsidP="00156573">
            <w:r>
              <w:t>Korrekt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4</w:t>
            </w:r>
          </w:p>
        </w:tc>
        <w:tc>
          <w:tcPr>
            <w:tcW w:w="3458" w:type="dxa"/>
          </w:tcPr>
          <w:p w:rsidR="00156573" w:rsidRDefault="00156573" w:rsidP="00156573">
            <w:r>
              <w:t>Wenn die Lizenzkosten für die EDR-Clients lt. Pos. 2 des Preisblatts von den einzelnen</w:t>
            </w:r>
          </w:p>
          <w:p w:rsidR="00156573" w:rsidRDefault="00156573" w:rsidP="00156573">
            <w:r>
              <w:t>Gesellschaften zeitversetzt abgerufen werden sollten, kann mit Zuschlag eine genaue</w:t>
            </w:r>
          </w:p>
          <w:p w:rsidR="00156573" w:rsidRDefault="00156573" w:rsidP="00156573">
            <w:r>
              <w:lastRenderedPageBreak/>
              <w:t>Aufstellung der Zahl der Clients der einzelnen Standorte angegeben werden oder erfährt der</w:t>
            </w:r>
          </w:p>
          <w:p w:rsidR="00156573" w:rsidRDefault="00156573" w:rsidP="00156573">
            <w:r>
              <w:t>Auftragnehmer das erst mit dem Abruf durch den letzten der 20 Auftraggeber?</w:t>
            </w:r>
          </w:p>
        </w:tc>
        <w:tc>
          <w:tcPr>
            <w:tcW w:w="3634" w:type="dxa"/>
          </w:tcPr>
          <w:p w:rsidR="00156573" w:rsidRDefault="00156573" w:rsidP="00156573">
            <w:r w:rsidRPr="00B152B2">
              <w:lastRenderedPageBreak/>
              <w:t>Dem Auftragnehmer wird ein entsprechendes Mengengerüst zugearbeitet.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  <w:shd w:val="clear" w:color="auto" w:fill="D0CECE" w:themeFill="background2" w:themeFillShade="E6"/>
          </w:tcPr>
          <w:p w:rsidR="00156573" w:rsidRPr="005203A3" w:rsidRDefault="00156573" w:rsidP="00156573">
            <w:pPr>
              <w:rPr>
                <w:b/>
              </w:rPr>
            </w:pPr>
          </w:p>
        </w:tc>
        <w:tc>
          <w:tcPr>
            <w:tcW w:w="7092" w:type="dxa"/>
            <w:gridSpan w:val="2"/>
            <w:shd w:val="clear" w:color="auto" w:fill="D0CECE" w:themeFill="background2" w:themeFillShade="E6"/>
          </w:tcPr>
          <w:p w:rsidR="00156573" w:rsidRDefault="00156573" w:rsidP="00156573">
            <w:r w:rsidRPr="005203A3">
              <w:rPr>
                <w:b/>
              </w:rPr>
              <w:t>EVB-IT-Vertrag allgemein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5</w:t>
            </w:r>
          </w:p>
        </w:tc>
        <w:tc>
          <w:tcPr>
            <w:tcW w:w="3458" w:type="dxa"/>
          </w:tcPr>
          <w:p w:rsidR="00156573" w:rsidRDefault="00156573" w:rsidP="00156573">
            <w:r>
              <w:t>Aufgrund der Art und Vielseitigkeit der Leistung erscheint der EVB-IT Cloud Vertrag hier nicht</w:t>
            </w:r>
          </w:p>
          <w:p w:rsidR="00156573" w:rsidRDefault="00156573" w:rsidP="00156573">
            <w:r>
              <w:t>die richtige Vertragsart, gehen wir daher recht in der Annahme, dass der Cloud-Vertrag</w:t>
            </w:r>
          </w:p>
          <w:p w:rsidR="00156573" w:rsidRDefault="00156573" w:rsidP="00156573">
            <w:r>
              <w:t>gegebenenfalls ergänzt oder ersetzt (ggf. EVB-IT Systemvertrag) werden kann?</w:t>
            </w:r>
          </w:p>
          <w:p w:rsidR="00156573" w:rsidRDefault="00156573" w:rsidP="00156573">
            <w:r>
              <w:t>Sollte es Ihres Erachtens bei dem Cloud Vertrag bleiben, wären wir um eine kurze Erläuterung</w:t>
            </w:r>
          </w:p>
          <w:p w:rsidR="00156573" w:rsidRDefault="00156573" w:rsidP="00156573">
            <w:r>
              <w:t>des Warum sehr verbunden. Zudem würden wir vorschlagen, dass die zum Cloud Vertrag</w:t>
            </w:r>
          </w:p>
          <w:p w:rsidR="00156573" w:rsidRDefault="00156573" w:rsidP="00156573">
            <w:r>
              <w:t>zugehörigen Anlagen in diesen involviert werden.</w:t>
            </w:r>
          </w:p>
        </w:tc>
        <w:tc>
          <w:tcPr>
            <w:tcW w:w="3634" w:type="dxa"/>
          </w:tcPr>
          <w:p w:rsidR="00156573" w:rsidRDefault="00156573" w:rsidP="00156573">
            <w:r>
              <w:t>Aus den technischen Bedingungen geht hervor, dass wir ein Portal des Aufragnehmers nutzen</w:t>
            </w:r>
          </w:p>
          <w:p w:rsidR="00156573" w:rsidRDefault="00156573" w:rsidP="00156573">
            <w:r>
              <w:t>möchten, daher wird keine „System“ geliefert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6</w:t>
            </w:r>
          </w:p>
        </w:tc>
        <w:tc>
          <w:tcPr>
            <w:tcW w:w="3458" w:type="dxa"/>
          </w:tcPr>
          <w:p w:rsidR="00156573" w:rsidRDefault="00156573" w:rsidP="00156573">
            <w:r>
              <w:t>In Antwort auf eine Bieterfrage formulieren Sie: „Jede Beauftragung erfolgt durch die abrufende</w:t>
            </w:r>
          </w:p>
          <w:p w:rsidR="00156573" w:rsidRDefault="00156573" w:rsidP="00156573">
            <w:r>
              <w:t>Gesellschaft gemäß Anlage 1 Liste der Auftraggeber.“</w:t>
            </w:r>
          </w:p>
          <w:p w:rsidR="00156573" w:rsidRDefault="00156573" w:rsidP="00156573">
            <w:r>
              <w:t>Dazu haben wir folgende Fragen:</w:t>
            </w:r>
          </w:p>
          <w:p w:rsidR="00156573" w:rsidRDefault="00156573" w:rsidP="00156573">
            <w:r>
              <w:t>• Gehen wir recht in der Annahme, dass die Kosten für das Onboarding – Anlage 3 Preisblatt</w:t>
            </w:r>
          </w:p>
          <w:p w:rsidR="00156573" w:rsidRDefault="00156573" w:rsidP="00156573">
            <w:r>
              <w:t>Pos. 1 – von einem zentralen Auftraggeber beauftragt werden und nicht von den einzelnen</w:t>
            </w:r>
          </w:p>
          <w:p w:rsidR="00156573" w:rsidRDefault="00156573" w:rsidP="00156573">
            <w:r>
              <w:t>Gesellschaften?</w:t>
            </w:r>
            <w:r>
              <w:t xml:space="preserve"> </w:t>
            </w:r>
          </w:p>
          <w:p w:rsidR="00156573" w:rsidRDefault="00156573" w:rsidP="00156573"/>
          <w:p w:rsidR="00156573" w:rsidRDefault="00156573" w:rsidP="00156573">
            <w:r>
              <w:t>Falls das nicht der Fall sein sollte: können wir davon ausgehen, dass die Einzelabrufe der</w:t>
            </w:r>
          </w:p>
          <w:p w:rsidR="00156573" w:rsidRDefault="00156573" w:rsidP="00156573">
            <w:r>
              <w:t>einzelnen Gesellschaften zeitnahe nach Zuschlag erfolgen werden (zeitnahe würde für uns</w:t>
            </w:r>
          </w:p>
          <w:p w:rsidR="00156573" w:rsidRDefault="00156573" w:rsidP="00156573">
            <w:r>
              <w:t>bedeuten: nicht länger als drei Monate nach Zuschlag)? Wird der Abruf sicher durch alle</w:t>
            </w:r>
          </w:p>
          <w:p w:rsidR="00156573" w:rsidRDefault="00156573" w:rsidP="00156573">
            <w:r>
              <w:lastRenderedPageBreak/>
              <w:t>Gesellschaften erfolgen oder ist es denkbar, dass einzelne der 20 Gesellschaften sich nicht aus</w:t>
            </w:r>
          </w:p>
          <w:p w:rsidR="00156573" w:rsidRDefault="00156573" w:rsidP="00156573">
            <w:r>
              <w:t>dem Rahmenvertrag bedienen?</w:t>
            </w:r>
          </w:p>
        </w:tc>
        <w:tc>
          <w:tcPr>
            <w:tcW w:w="3634" w:type="dxa"/>
          </w:tcPr>
          <w:p w:rsidR="00156573" w:rsidRDefault="00156573" w:rsidP="00156573">
            <w:r w:rsidRPr="00B152B2">
              <w:lastRenderedPageBreak/>
              <w:t>Die Annahme ist korrekt</w:t>
            </w:r>
          </w:p>
          <w:p w:rsidR="00156573" w:rsidRDefault="00156573" w:rsidP="00156573"/>
          <w:p w:rsidR="00156573" w:rsidRDefault="00156573" w:rsidP="00156573"/>
          <w:p w:rsidR="00156573" w:rsidRDefault="00156573" w:rsidP="00156573"/>
          <w:p w:rsidR="00156573" w:rsidRDefault="00156573" w:rsidP="00156573"/>
          <w:p w:rsidR="00156573" w:rsidRDefault="00156573" w:rsidP="00156573"/>
          <w:p w:rsidR="00156573" w:rsidRDefault="00156573" w:rsidP="00156573"/>
          <w:p w:rsidR="00156573" w:rsidRDefault="00156573" w:rsidP="00156573"/>
          <w:p w:rsidR="00156573" w:rsidRDefault="00156573" w:rsidP="00156573"/>
          <w:p w:rsidR="00156573" w:rsidRDefault="00156573" w:rsidP="00156573"/>
          <w:p w:rsidR="00156573" w:rsidRDefault="00156573" w:rsidP="00156573"/>
          <w:p w:rsidR="00156573" w:rsidRDefault="00156573" w:rsidP="00156573">
            <w:r>
              <w:t>Siehe oben.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7</w:t>
            </w:r>
          </w:p>
        </w:tc>
        <w:tc>
          <w:tcPr>
            <w:tcW w:w="3458" w:type="dxa"/>
          </w:tcPr>
          <w:p w:rsidR="00156573" w:rsidRDefault="00156573" w:rsidP="00156573">
            <w:r>
              <w:t>Gehen wir recht in der Annahme, dass mit dem AUFTRAGNEHMER gemäß</w:t>
            </w:r>
          </w:p>
          <w:p w:rsidR="00156573" w:rsidRDefault="00156573" w:rsidP="00156573">
            <w:r>
              <w:t>§§ 15 AktG ff. verbundene Unternehmen nicht als Nachunternehmer gemäß Ihren</w:t>
            </w:r>
          </w:p>
          <w:p w:rsidR="00156573" w:rsidRDefault="00156573" w:rsidP="00156573">
            <w:r>
              <w:t>Ausschreibungsunterlagen angesehen werden und somit für deren Einsatz keine vorherige</w:t>
            </w:r>
          </w:p>
          <w:p w:rsidR="00156573" w:rsidRDefault="00156573" w:rsidP="00156573">
            <w:r>
              <w:t>schriftliche Zustimmung Ihrerseits erforderlich ist?</w:t>
            </w:r>
          </w:p>
          <w:p w:rsidR="00156573" w:rsidRDefault="00156573" w:rsidP="00156573"/>
        </w:tc>
        <w:tc>
          <w:tcPr>
            <w:tcW w:w="3634" w:type="dxa"/>
          </w:tcPr>
          <w:p w:rsidR="00156573" w:rsidRDefault="00156573" w:rsidP="00156573">
            <w:r>
              <w:t>Nein. Weil in Ziffer 8.4 die Möglichkeit des § 15 Abs. 2 EVB-Cloud-AGB nicht aktiviert wurde,</w:t>
            </w:r>
          </w:p>
          <w:p w:rsidR="00156573" w:rsidRDefault="00156573" w:rsidP="00156573">
            <w:r>
              <w:t>bleibt es beim 15.1 EVB-Cloud AGB und somit ist eine Ausnahme nicht erforderlich.</w:t>
            </w:r>
          </w:p>
        </w:tc>
      </w:tr>
      <w:tr w:rsidR="00156573" w:rsidTr="00A91653">
        <w:tc>
          <w:tcPr>
            <w:tcW w:w="985" w:type="dxa"/>
            <w:shd w:val="clear" w:color="auto" w:fill="D0CECE" w:themeFill="background2" w:themeFillShade="E6"/>
          </w:tcPr>
          <w:p w:rsidR="00156573" w:rsidRPr="00A91653" w:rsidRDefault="00156573" w:rsidP="00156573">
            <w:pPr>
              <w:rPr>
                <w:b/>
              </w:rPr>
            </w:pPr>
          </w:p>
        </w:tc>
        <w:tc>
          <w:tcPr>
            <w:tcW w:w="7092" w:type="dxa"/>
            <w:gridSpan w:val="2"/>
            <w:shd w:val="clear" w:color="auto" w:fill="D0CECE" w:themeFill="background2" w:themeFillShade="E6"/>
          </w:tcPr>
          <w:p w:rsidR="00156573" w:rsidRDefault="00156573" w:rsidP="00156573">
            <w:r w:rsidRPr="00A91653">
              <w:rPr>
                <w:b/>
              </w:rPr>
              <w:t>Anlagen 2 a) bis c)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8</w:t>
            </w:r>
          </w:p>
        </w:tc>
        <w:tc>
          <w:tcPr>
            <w:tcW w:w="3458" w:type="dxa"/>
          </w:tcPr>
          <w:p w:rsidR="00156573" w:rsidRDefault="00156573" w:rsidP="00156573">
            <w:r>
              <w:t>Logquellen - Gemäß Ihrer Beantwortung der 2. Bieterfrage ist davon auszugehen, dass neben</w:t>
            </w:r>
          </w:p>
          <w:p w:rsidR="00156573" w:rsidRDefault="00156573" w:rsidP="00156573">
            <w:r>
              <w:t>Endpunktsysteme auch weitere Systeme an das SzA angebunden werden sollen. Welche</w:t>
            </w:r>
          </w:p>
          <w:p w:rsidR="00156573" w:rsidRDefault="00156573" w:rsidP="00156573">
            <w:r>
              <w:t>weiteren Logquellen neben den 12.000 Endpunkten bzw. dem EDR-System sollen an das SzA</w:t>
            </w:r>
          </w:p>
          <w:p w:rsidR="00156573" w:rsidRDefault="00156573" w:rsidP="00156573">
            <w:r>
              <w:t>angebunden? Bitte stellen Sie uns eine entsprechende Übersicht zur Verfügung (bspw. Domain</w:t>
            </w:r>
          </w:p>
          <w:p w:rsidR="00156573" w:rsidRDefault="00156573" w:rsidP="00156573">
            <w:r>
              <w:t>Controller, Firewalls, IDS-System, IIS-Server, etc.).</w:t>
            </w:r>
          </w:p>
        </w:tc>
        <w:tc>
          <w:tcPr>
            <w:tcW w:w="3634" w:type="dxa"/>
          </w:tcPr>
          <w:p w:rsidR="00156573" w:rsidRDefault="00156573" w:rsidP="00156573">
            <w:r>
              <w:t>Im Kontext der Ausschreibung sollen ausschließlich diese 12.000 Endpunkte (Windows, Linux,</w:t>
            </w:r>
          </w:p>
          <w:p w:rsidR="00156573" w:rsidRDefault="00156573" w:rsidP="00156573">
            <w:r>
              <w:t>IGEL OS, Citrix) betrachtet und überwacht werden.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9</w:t>
            </w:r>
          </w:p>
        </w:tc>
        <w:tc>
          <w:tcPr>
            <w:tcW w:w="3458" w:type="dxa"/>
          </w:tcPr>
          <w:p w:rsidR="00156573" w:rsidRDefault="00156573" w:rsidP="00156573">
            <w:r>
              <w:t>EDR - Innerhalb der ausgeschriebenen Unterlagen (v.a. Anlage 2a und 2c) wird die Einführung</w:t>
            </w:r>
          </w:p>
          <w:p w:rsidR="00156573" w:rsidRDefault="00156573" w:rsidP="00156573">
            <w:r>
              <w:t>eines SzA inklusive den dazugehörigen Managed Services in Form eines SOC-Services</w:t>
            </w:r>
          </w:p>
          <w:p w:rsidR="00156573" w:rsidRDefault="00156573" w:rsidP="00156573">
            <w:r>
              <w:t>gefordert. Ausschreibungsgegenstand ist ferner die Einführung einer EDR-Lösung gemäß</w:t>
            </w:r>
          </w:p>
          <w:p w:rsidR="00156573" w:rsidRDefault="00156573" w:rsidP="00156573">
            <w:r>
              <w:t>Anlage 2b. Anders als beim SzA werden für den EDR-Teil keine konkreten managed Service</w:t>
            </w:r>
          </w:p>
          <w:p w:rsidR="00156573" w:rsidRDefault="00156573" w:rsidP="00156573">
            <w:r>
              <w:t>Leistungen beschrieben. Ferner soll der Auftraggeber als Lizenznehmer der EDR-Lizenzen</w:t>
            </w:r>
          </w:p>
          <w:p w:rsidR="00156573" w:rsidRDefault="00156573" w:rsidP="00156573">
            <w:r>
              <w:lastRenderedPageBreak/>
              <w:t>gelten. Gehen wir daher Recht in der Annahme, dass im Zuge dieser Ausschreibung lediglich</w:t>
            </w:r>
          </w:p>
          <w:p w:rsidR="00156573" w:rsidRDefault="00156573" w:rsidP="00156573">
            <w:r>
              <w:t>die Betriebsverantwortung des SzA an den Auftragnehmer abgegeben wird, während die</w:t>
            </w:r>
          </w:p>
          <w:p w:rsidR="00156573" w:rsidRDefault="00156573" w:rsidP="00156573">
            <w:r>
              <w:t>Betriebshoheit der einzuführenden EDR-Lösung beim Auftraggeber bleibt und der</w:t>
            </w:r>
          </w:p>
          <w:p w:rsidR="00156573" w:rsidRDefault="00156573" w:rsidP="00156573">
            <w:r>
              <w:t>Auftragnehmer im EDR-Kontext lediglich für die Einführung der Betriebsbereitschaft der EDR-</w:t>
            </w:r>
          </w:p>
          <w:p w:rsidR="00156573" w:rsidRDefault="00156573" w:rsidP="00156573">
            <w:r>
              <w:t>Lösung verantwortlich ist? Dabei ist zu beachten, dass die Anbindung des EDR-Systems an das</w:t>
            </w:r>
          </w:p>
          <w:p w:rsidR="00156573" w:rsidRDefault="00156573" w:rsidP="00156573">
            <w:r>
              <w:t>SzA als Bestandteil der Integrationsphase des managed SOCs gilt und in diesem Zuge</w:t>
            </w:r>
          </w:p>
          <w:p w:rsidR="00156573" w:rsidRDefault="00156573" w:rsidP="00156573">
            <w:r>
              <w:t>selbstverständlich vom Auftragnehmer übernommen wird.</w:t>
            </w:r>
          </w:p>
        </w:tc>
        <w:tc>
          <w:tcPr>
            <w:tcW w:w="3634" w:type="dxa"/>
          </w:tcPr>
          <w:p w:rsidR="00156573" w:rsidRDefault="00156573" w:rsidP="00156573">
            <w:r>
              <w:lastRenderedPageBreak/>
              <w:t>D</w:t>
            </w:r>
            <w:r>
              <w:t>er EDR Client wird von den AMEOS IT Services auf unsere Endpunkte aufgespielt, ebenso</w:t>
            </w:r>
          </w:p>
          <w:p w:rsidR="00156573" w:rsidRDefault="00156573" w:rsidP="00156573">
            <w:r>
              <w:t>wie das Durchführen von notwendigen Updates etc.pp.</w:t>
            </w:r>
            <w:r>
              <w:t xml:space="preserve"> </w:t>
            </w:r>
            <w:r>
              <w:t>Die Verbindung zum angebotenen SzA sollte Bestandteil der Implementierungsleistung sein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10</w:t>
            </w:r>
          </w:p>
        </w:tc>
        <w:tc>
          <w:tcPr>
            <w:tcW w:w="3458" w:type="dxa"/>
          </w:tcPr>
          <w:p w:rsidR="00156573" w:rsidRDefault="00156573" w:rsidP="00156573">
            <w:r>
              <w:t>Welche und wie viele NGFW ist/ sind im Einsatz? Welches tägliche Log-Volumen soll zugrunde</w:t>
            </w:r>
          </w:p>
          <w:p w:rsidR="00156573" w:rsidRDefault="00156573" w:rsidP="00156573">
            <w:r>
              <w:t>gelegt werden? Welche(s) und wie viele IDS/ IPS-Systeme ist/ sind im Einsatz? Welches</w:t>
            </w:r>
          </w:p>
          <w:p w:rsidR="00156573" w:rsidRDefault="00156573" w:rsidP="00156573">
            <w:r>
              <w:t>tägliche Log-Volumen soll zugrunde gelegt werden</w:t>
            </w:r>
          </w:p>
        </w:tc>
        <w:tc>
          <w:tcPr>
            <w:tcW w:w="3634" w:type="dxa"/>
          </w:tcPr>
          <w:p w:rsidR="00156573" w:rsidRDefault="00156573" w:rsidP="00156573">
            <w:r w:rsidRPr="001B6060">
              <w:t>Aktuell haben wir keine NGFW, IDS und IPS Systeme im Einsatz.</w:t>
            </w:r>
          </w:p>
          <w:p w:rsidR="00156573" w:rsidRPr="001B6060" w:rsidRDefault="00156573" w:rsidP="00156573">
            <w:pPr>
              <w:jc w:val="center"/>
            </w:pP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Pr="001B6060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11</w:t>
            </w:r>
          </w:p>
        </w:tc>
        <w:tc>
          <w:tcPr>
            <w:tcW w:w="3458" w:type="dxa"/>
          </w:tcPr>
          <w:p w:rsidR="00156573" w:rsidRDefault="00156573" w:rsidP="00156573">
            <w:r>
              <w:t>• Akzeptieren sie 1st-Level Support (24/7) in englischer Sprache?</w:t>
            </w:r>
          </w:p>
          <w:p w:rsidR="00156573" w:rsidRDefault="00156573" w:rsidP="00156573">
            <w:r>
              <w:t>• Können sie bitte bereits eingesetzte sicherheitsrelevante oder ausschreibungsrelevante</w:t>
            </w:r>
          </w:p>
          <w:p w:rsidR="00156573" w:rsidRDefault="00156573" w:rsidP="00156573">
            <w:r>
              <w:t>Systeme nennen?</w:t>
            </w:r>
          </w:p>
          <w:p w:rsidR="00156573" w:rsidRDefault="00156573" w:rsidP="00156573">
            <w:r>
              <w:t>• Können sie uns bitte eine grobe Einschätzung des zu überwachenden Datenvolumens geben?</w:t>
            </w:r>
          </w:p>
          <w:p w:rsidR="00156573" w:rsidRDefault="00156573" w:rsidP="00156573">
            <w:r>
              <w:t>• Können sie bitte eine kategorisierte Anzahl der zu überwachenden Systeme mitteilen?</w:t>
            </w:r>
          </w:p>
          <w:p w:rsidR="00156573" w:rsidRDefault="00156573" w:rsidP="00156573">
            <w:r>
              <w:t>• Können Sie bitte die geschätzte durchschnittliche Anzahl von Warnmeldungen innerhalb von</w:t>
            </w:r>
          </w:p>
          <w:p w:rsidR="00156573" w:rsidRDefault="00156573" w:rsidP="00156573">
            <w:r>
              <w:t>30 Tagen angeben?</w:t>
            </w:r>
          </w:p>
        </w:tc>
        <w:tc>
          <w:tcPr>
            <w:tcW w:w="3634" w:type="dxa"/>
          </w:tcPr>
          <w:p w:rsidR="00156573" w:rsidRDefault="00156573" w:rsidP="00156573">
            <w:r>
              <w:t>-</w:t>
            </w:r>
            <w:r>
              <w:t xml:space="preserve"> Nein, 1st Level Support muss in Deutsch angeboten werden</w:t>
            </w:r>
          </w:p>
          <w:p w:rsidR="00156573" w:rsidRDefault="00156573" w:rsidP="00156573">
            <w:r>
              <w:t>-</w:t>
            </w:r>
            <w:r>
              <w:t xml:space="preserve"> Nein, wir können keine sicherheits- oder ausschreibungsrelevante Systeme nennen</w:t>
            </w:r>
          </w:p>
          <w:p w:rsidR="00156573" w:rsidRDefault="00156573" w:rsidP="00156573"/>
          <w:p w:rsidR="00156573" w:rsidRDefault="00156573" w:rsidP="00156573"/>
          <w:p w:rsidR="00156573" w:rsidRDefault="00156573" w:rsidP="00156573">
            <w:r>
              <w:t>-</w:t>
            </w:r>
            <w:r>
              <w:t xml:space="preserve"> Wir können Ihnen keine Einschätzung des zu überwachenden Datenvolumens geben</w:t>
            </w:r>
          </w:p>
          <w:p w:rsidR="00156573" w:rsidRPr="001B6060" w:rsidRDefault="00156573" w:rsidP="00156573">
            <w:pPr>
              <w:rPr>
                <w:lang w:val="en-US"/>
              </w:rPr>
            </w:pPr>
            <w:r w:rsidRPr="001B6060">
              <w:rPr>
                <w:lang w:val="en-US"/>
              </w:rPr>
              <w:t>-</w:t>
            </w:r>
            <w:r w:rsidRPr="001B6060">
              <w:rPr>
                <w:lang w:val="en-US"/>
              </w:rPr>
              <w:t xml:space="preserve"> </w:t>
            </w:r>
            <w:r w:rsidRPr="001B6060">
              <w:rPr>
                <w:lang w:val="en-US"/>
              </w:rPr>
              <w:t>c</w:t>
            </w:r>
            <w:r w:rsidRPr="001B6060">
              <w:rPr>
                <w:lang w:val="en-US"/>
              </w:rPr>
              <w:t>a. 5.000 Fat Clients, 5.000 Thin Clients (IGEL OS/Citrix), 1.200 Server (Windows / Linux)</w:t>
            </w:r>
          </w:p>
          <w:p w:rsidR="00156573" w:rsidRDefault="00156573" w:rsidP="00156573">
            <w:pPr>
              <w:pStyle w:val="Listenabsatz"/>
              <w:numPr>
                <w:ilvl w:val="0"/>
                <w:numId w:val="1"/>
              </w:numPr>
              <w:ind w:left="0"/>
            </w:pPr>
            <w:r>
              <w:t xml:space="preserve">- </w:t>
            </w:r>
            <w:r>
              <w:t>Wir können Ihnen nicht die durchschnittliche Anzahl der Warnmeldungen der letzten 30</w:t>
            </w:r>
          </w:p>
          <w:p w:rsidR="00156573" w:rsidRDefault="00156573" w:rsidP="00156573">
            <w:r>
              <w:t>Tage angeben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12</w:t>
            </w:r>
          </w:p>
        </w:tc>
        <w:tc>
          <w:tcPr>
            <w:tcW w:w="3458" w:type="dxa"/>
          </w:tcPr>
          <w:p w:rsidR="00156573" w:rsidRDefault="00156573" w:rsidP="00156573">
            <w:r>
              <w:t>Im Gesundheitssektor werden auf den Clients zumeist Daten mit höchstem Vertraulichkeitsgrad</w:t>
            </w:r>
          </w:p>
          <w:p w:rsidR="00156573" w:rsidRDefault="00156573" w:rsidP="00156573">
            <w:r>
              <w:lastRenderedPageBreak/>
              <w:t>(Patientendaten) verarbeitet. Gehen wir daher Recht in der Annahme, dass es sich aus diesem</w:t>
            </w:r>
          </w:p>
          <w:p w:rsidR="00156573" w:rsidRDefault="00156573" w:rsidP="00156573">
            <w:r>
              <w:t>Grund um eine EDR-Lösung handeln soll, welche gänzlich On-Premises betrieben werden</w:t>
            </w:r>
          </w:p>
          <w:p w:rsidR="00156573" w:rsidRDefault="00156573" w:rsidP="00156573">
            <w:r>
              <w:t>muss?</w:t>
            </w:r>
          </w:p>
        </w:tc>
        <w:tc>
          <w:tcPr>
            <w:tcW w:w="3634" w:type="dxa"/>
          </w:tcPr>
          <w:p w:rsidR="00156573" w:rsidRDefault="00156573" w:rsidP="00156573">
            <w:r>
              <w:lastRenderedPageBreak/>
              <w:t>Nicht zwingend. Während die Verarbeitung von Patientendaten höchste Sicherheitsstandards</w:t>
            </w:r>
          </w:p>
          <w:p w:rsidR="00156573" w:rsidRDefault="00156573" w:rsidP="00156573">
            <w:r>
              <w:lastRenderedPageBreak/>
              <w:t>erfordert, gibt es Cloud-EDR/MDR-Lösungen, die höchsten Sicherheits- und</w:t>
            </w:r>
          </w:p>
          <w:p w:rsidR="00156573" w:rsidRDefault="00156573" w:rsidP="00156573">
            <w:r>
              <w:t>Datenschutzanforderungen entsprechen. Anbieter können Lösungen bereitstellen, die eine</w:t>
            </w:r>
          </w:p>
          <w:p w:rsidR="00156573" w:rsidRDefault="00156573" w:rsidP="00156573">
            <w:r>
              <w:t>sichere Verarbeitung und Speicherung von Daten in der Cloud gewährleisten, einschließlich der</w:t>
            </w:r>
          </w:p>
          <w:p w:rsidR="00156573" w:rsidRDefault="00156573" w:rsidP="00156573">
            <w:r>
              <w:t>Implementierung von strengen Sicherheitsmaßnahmen wie Datenverschlüsselung,</w:t>
            </w:r>
          </w:p>
          <w:p w:rsidR="00156573" w:rsidRDefault="00156573" w:rsidP="00156573">
            <w:r>
              <w:t>Zugangskontrollen und regelmäßigen Sicherheitsüberprüfungen. Daher kann eine Cloud-</w:t>
            </w:r>
          </w:p>
          <w:p w:rsidR="00156573" w:rsidRDefault="00156573" w:rsidP="00156573">
            <w:r>
              <w:t>basierte EDR/MDR-Lösung eine ebenso sichere Alternative zu einer reinen On-Premises-</w:t>
            </w:r>
          </w:p>
          <w:p w:rsidR="00156573" w:rsidRDefault="00156573" w:rsidP="00156573">
            <w:r>
              <w:t>Lösung darstellen, sofern alle regulatorischen und datenschutzrechtlichen Anforderungen erfüllt</w:t>
            </w:r>
          </w:p>
          <w:p w:rsidR="00156573" w:rsidRDefault="00156573" w:rsidP="00156573">
            <w:r>
              <w:t>werden.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13</w:t>
            </w:r>
          </w:p>
        </w:tc>
        <w:tc>
          <w:tcPr>
            <w:tcW w:w="3458" w:type="dxa"/>
          </w:tcPr>
          <w:p w:rsidR="00156573" w:rsidRDefault="00156573" w:rsidP="00156573">
            <w:r>
              <w:t>Im Gesundheitssektor ist es üblich, dass medizinische Systeme zum Einsatz kommen, auf</w:t>
            </w:r>
          </w:p>
          <w:p w:rsidR="00156573" w:rsidRDefault="00156573" w:rsidP="00156573">
            <w:r>
              <w:t>denen proprietäre Betriebssysteme laufen oder aus anderen Gründen keine weitere Software-</w:t>
            </w:r>
          </w:p>
          <w:p w:rsidR="00156573" w:rsidRDefault="00156573" w:rsidP="00156573">
            <w:r>
              <w:t>Lösungen, Agenten oder Updates eingespielt werden können. Gehen wir daher Recht in der</w:t>
            </w:r>
          </w:p>
          <w:p w:rsidR="00156573" w:rsidRDefault="00156573" w:rsidP="00156573">
            <w:r>
              <w:t>Annahme, dass die Anbindung von Logquellen / Systemen an das SzA technologieneutral</w:t>
            </w:r>
          </w:p>
          <w:p w:rsidR="00156573" w:rsidRDefault="00156573" w:rsidP="00156573">
            <w:r>
              <w:t>erfolgen muss und die Anbindung den Einsatz von Endpunktsensoren nicht zwingend</w:t>
            </w:r>
          </w:p>
          <w:p w:rsidR="00156573" w:rsidRDefault="00156573" w:rsidP="00156573">
            <w:r>
              <w:t>voraussetzen darf?</w:t>
            </w:r>
          </w:p>
        </w:tc>
        <w:tc>
          <w:tcPr>
            <w:tcW w:w="3634" w:type="dxa"/>
          </w:tcPr>
          <w:p w:rsidR="00156573" w:rsidRDefault="00156573" w:rsidP="00156573">
            <w:r>
              <w:t>Ja, das ist korrekt. Im Gesundheitssektor ist es essenziell, dass die Anbindung an das SzA</w:t>
            </w:r>
          </w:p>
          <w:p w:rsidR="00156573" w:rsidRDefault="00156573" w:rsidP="00156573">
            <w:r>
              <w:t>sowohl agentenbasiert als auch agentenlos erfolgen kann. Dies gewährleistet die notwendige</w:t>
            </w:r>
          </w:p>
          <w:p w:rsidR="00156573" w:rsidRDefault="00156573" w:rsidP="00156573">
            <w:r>
              <w:t>Flexibilität, um die Vielzahl von proprietären Betriebssystemen und medizinischen Systemen,</w:t>
            </w:r>
          </w:p>
          <w:p w:rsidR="00156573" w:rsidRDefault="00156573" w:rsidP="00156573">
            <w:r>
              <w:t>auf denen keine zusätzliche Software installiert werden kann, zu unterstützen. Anbieter können</w:t>
            </w:r>
          </w:p>
          <w:p w:rsidR="00156573" w:rsidRDefault="00156573" w:rsidP="00156573">
            <w:r>
              <w:t>Lösungen bereitstellen, die sowohl Endpunktsensoren verwenden, wo dies möglich ist, als auch</w:t>
            </w:r>
          </w:p>
          <w:p w:rsidR="00156573" w:rsidRDefault="00156573" w:rsidP="00156573">
            <w:r>
              <w:t>agentenlose Methoden wie standardisierte Protokolle und Schnittstellen (z.B. syslog, SNMP,</w:t>
            </w:r>
          </w:p>
          <w:p w:rsidR="00156573" w:rsidRDefault="00156573" w:rsidP="00156573">
            <w:r>
              <w:t>APIs), um Logquellen und Systeme anzubinden.</w:t>
            </w:r>
          </w:p>
          <w:p w:rsidR="00156573" w:rsidRDefault="00156573" w:rsidP="00156573">
            <w:r>
              <w:t>Im Kontext der Ausschreibung fokussieren wir eine agentenbasierte Technologie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14</w:t>
            </w:r>
          </w:p>
        </w:tc>
        <w:tc>
          <w:tcPr>
            <w:tcW w:w="3458" w:type="dxa"/>
          </w:tcPr>
          <w:p w:rsidR="00156573" w:rsidRDefault="00156573" w:rsidP="00156573">
            <w:r>
              <w:t>Aus den Vergabeunterlagen geht nicht hervor, wie groß die Infrastruktur (Mengengerüst</w:t>
            </w:r>
          </w:p>
          <w:p w:rsidR="00156573" w:rsidRDefault="00156573" w:rsidP="00156573">
            <w:r>
              <w:lastRenderedPageBreak/>
              <w:t>Clients, Server) ist, auf die das Security Operation Center angeboten werden soll. Wir bitten Sie,</w:t>
            </w:r>
            <w:r>
              <w:t xml:space="preserve"> </w:t>
            </w:r>
            <w:r>
              <w:t>uns dies zur Verfügung zu stellen.</w:t>
            </w:r>
          </w:p>
        </w:tc>
        <w:tc>
          <w:tcPr>
            <w:tcW w:w="3634" w:type="dxa"/>
          </w:tcPr>
          <w:p w:rsidR="00156573" w:rsidRDefault="00156573" w:rsidP="00156573">
            <w:r w:rsidRPr="00A91653">
              <w:lastRenderedPageBreak/>
              <w:t>Siehe Beantwortung zu 11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15</w:t>
            </w:r>
          </w:p>
        </w:tc>
        <w:tc>
          <w:tcPr>
            <w:tcW w:w="3458" w:type="dxa"/>
          </w:tcPr>
          <w:p w:rsidR="00156573" w:rsidRDefault="00156573" w:rsidP="00156573">
            <w:r>
              <w:t>Gehen wir Recht in der Annahme, daß im Rahmen der Vergabe ebenfalls eine Netflow-</w:t>
            </w:r>
          </w:p>
          <w:p w:rsidR="00156573" w:rsidRDefault="00156573" w:rsidP="00156573">
            <w:r>
              <w:t>Analyse Bestandteil der Dienstleistung sein soll?</w:t>
            </w:r>
          </w:p>
        </w:tc>
        <w:tc>
          <w:tcPr>
            <w:tcW w:w="3634" w:type="dxa"/>
          </w:tcPr>
          <w:p w:rsidR="00156573" w:rsidRDefault="00156573" w:rsidP="00156573">
            <w:r w:rsidRPr="005203A3">
              <w:t>Nein, Netflow Analyse ist nicht erforderlich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Pr="005203A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16</w:t>
            </w:r>
          </w:p>
        </w:tc>
        <w:tc>
          <w:tcPr>
            <w:tcW w:w="3458" w:type="dxa"/>
          </w:tcPr>
          <w:p w:rsidR="00156573" w:rsidRDefault="00156573" w:rsidP="00156573">
            <w:r>
              <w:t>Gehen wir Recht in der Annahme, daß das Security Operation Center auch OT überwacht</w:t>
            </w:r>
          </w:p>
          <w:p w:rsidR="00156573" w:rsidRDefault="00156573" w:rsidP="00156573">
            <w:r>
              <w:t>werden soll? Wenn ja, wie groß ist die OT-Infrastruktur?</w:t>
            </w:r>
            <w:r>
              <w:t xml:space="preserve"> </w:t>
            </w:r>
            <w:r>
              <w:t>Gehen wir Recht in der Annahme, daß das Security Operation Center auch OT überwacht</w:t>
            </w:r>
          </w:p>
          <w:p w:rsidR="00156573" w:rsidRDefault="00156573" w:rsidP="00156573">
            <w:r>
              <w:t>werden soll? Wenn ja, wie groß ist die OT-Infrastruktur?</w:t>
            </w:r>
          </w:p>
        </w:tc>
        <w:tc>
          <w:tcPr>
            <w:tcW w:w="3634" w:type="dxa"/>
          </w:tcPr>
          <w:p w:rsidR="00156573" w:rsidRPr="005203A3" w:rsidRDefault="00156573" w:rsidP="00156573">
            <w:r>
              <w:t>Nein, im Kontext der Ausschreibung, geht es erst einmal ausschließlich um die in der</w:t>
            </w:r>
            <w:r>
              <w:t xml:space="preserve"> </w:t>
            </w:r>
            <w:r>
              <w:t>Antwort zu Bieterfrage 5 dieses Dokumentes, angegebenen Endpunkte.</w:t>
            </w:r>
            <w:r>
              <w:t xml:space="preserve"> (siehe Nr. 8)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Pr="005203A3" w:rsidRDefault="00156573" w:rsidP="00156573">
            <w:r>
              <w:t>17</w:t>
            </w:r>
          </w:p>
        </w:tc>
        <w:tc>
          <w:tcPr>
            <w:tcW w:w="3458" w:type="dxa"/>
          </w:tcPr>
          <w:p w:rsidR="00156573" w:rsidRDefault="00156573" w:rsidP="00156573">
            <w:r w:rsidRPr="005203A3">
              <w:t>Welche Microsoft Lizenzierung liegt bei den beteiligten Kliniken vor?</w:t>
            </w:r>
          </w:p>
        </w:tc>
        <w:tc>
          <w:tcPr>
            <w:tcW w:w="3634" w:type="dxa"/>
          </w:tcPr>
          <w:p w:rsidR="00156573" w:rsidRDefault="00156573" w:rsidP="00156573">
            <w:r w:rsidRPr="005203A3">
              <w:t>Für Ihr Angebot zu dieser Ausschreibung ist diese Information nicht erforderlich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Pr="005203A3" w:rsidRDefault="00156573" w:rsidP="00156573">
            <w:r>
              <w:t>18</w:t>
            </w:r>
          </w:p>
        </w:tc>
        <w:tc>
          <w:tcPr>
            <w:tcW w:w="3458" w:type="dxa"/>
          </w:tcPr>
          <w:p w:rsidR="00156573" w:rsidRDefault="00156573" w:rsidP="00156573">
            <w:r w:rsidRPr="005203A3">
              <w:t>Auf welchen Hersteller soll die EDR-Funktionalität aufbauen</w:t>
            </w:r>
          </w:p>
        </w:tc>
        <w:tc>
          <w:tcPr>
            <w:tcW w:w="3634" w:type="dxa"/>
          </w:tcPr>
          <w:p w:rsidR="00156573" w:rsidRDefault="00156573" w:rsidP="00156573">
            <w:r w:rsidRPr="005203A3">
              <w:t>Wir geben hierzu keine Vorgaben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19</w:t>
            </w:r>
          </w:p>
        </w:tc>
        <w:tc>
          <w:tcPr>
            <w:tcW w:w="3458" w:type="dxa"/>
          </w:tcPr>
          <w:p w:rsidR="00156573" w:rsidRDefault="00156573" w:rsidP="00156573">
            <w:r>
              <w:t>Sehr geehrte Damen und Herren, sie fordern u.a. "Der Anbieter fügt eine</w:t>
            </w:r>
          </w:p>
          <w:p w:rsidR="00156573" w:rsidRDefault="00156573" w:rsidP="00156573">
            <w:r>
              <w:t>Leistungsbeschreibung dem Angebot bei." (Anlage 2c). Gehen wir Recht in der Annahme, dass</w:t>
            </w:r>
            <w:r>
              <w:t xml:space="preserve"> </w:t>
            </w:r>
            <w:r>
              <w:t>damit die Einreichung einer Darstellung bzw. Beschreibung der angebotenen EDR gemeint ist?</w:t>
            </w:r>
          </w:p>
          <w:p w:rsidR="00156573" w:rsidRDefault="00156573" w:rsidP="00156573">
            <w:r>
              <w:t>Falls nein, bitte erläutern Sie im Detail welche Informationen seitens aller Bieter vorgelegt</w:t>
            </w:r>
          </w:p>
          <w:p w:rsidR="00156573" w:rsidRDefault="00156573" w:rsidP="00156573">
            <w:r>
              <w:t>werden sollen um das Kriterium zu erfüllen."</w:t>
            </w:r>
          </w:p>
        </w:tc>
        <w:tc>
          <w:tcPr>
            <w:tcW w:w="3634" w:type="dxa"/>
          </w:tcPr>
          <w:p w:rsidR="00156573" w:rsidRDefault="00156573" w:rsidP="00156573">
            <w:r w:rsidRPr="00B152B2">
              <w:t>Ihre Annahme ist korrekt, inkl. der anzubietenden MDR-Leistungen</w:t>
            </w:r>
            <w:r>
              <w:t>.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20</w:t>
            </w:r>
          </w:p>
        </w:tc>
        <w:tc>
          <w:tcPr>
            <w:tcW w:w="3458" w:type="dxa"/>
          </w:tcPr>
          <w:p w:rsidR="00156573" w:rsidRDefault="00156573" w:rsidP="00156573">
            <w:r>
              <w:t>a) Muss der Lizenznehmer für die angebotene EDR Lösung zwingend der Auftragnehmer sein</w:t>
            </w:r>
          </w:p>
          <w:p w:rsidR="00156573" w:rsidRDefault="00156573" w:rsidP="00156573">
            <w:r>
              <w:t>oder ist es auch möglich, dass der Auftraggeber Lizenznehmer wird?</w:t>
            </w:r>
          </w:p>
          <w:p w:rsidR="00156573" w:rsidRDefault="00156573" w:rsidP="00156573">
            <w:r>
              <w:lastRenderedPageBreak/>
              <w:t>b) Die Frage der Microsoft Lizenzen stellt sich aufgrund möglicher EDR Lösungskomponenten.</w:t>
            </w:r>
          </w:p>
          <w:p w:rsidR="00156573" w:rsidRDefault="00156573" w:rsidP="00156573">
            <w:r>
              <w:t>Wird beispielsweise eine E3 Lizenz oder eine E5 Lizenz eingesetzt?</w:t>
            </w:r>
          </w:p>
        </w:tc>
        <w:tc>
          <w:tcPr>
            <w:tcW w:w="3634" w:type="dxa"/>
          </w:tcPr>
          <w:p w:rsidR="00156573" w:rsidRDefault="00156573" w:rsidP="00156573">
            <w:r>
              <w:lastRenderedPageBreak/>
              <w:t>Zu a) – Lizenznehmer soll der Auftragnehmer sein. Die Lizenzierung auf die Gesellschaften der</w:t>
            </w:r>
          </w:p>
          <w:p w:rsidR="00156573" w:rsidRDefault="00156573" w:rsidP="00156573">
            <w:r>
              <w:t>Anlage 1 Liste der Auftraggeber, ist nicht gefordert.</w:t>
            </w:r>
          </w:p>
          <w:p w:rsidR="00156573" w:rsidRDefault="00156573" w:rsidP="00156573">
            <w:r>
              <w:t>Zu b) – es wird kein Microsoft 365 eingesetzt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21</w:t>
            </w:r>
          </w:p>
        </w:tc>
        <w:tc>
          <w:tcPr>
            <w:tcW w:w="3458" w:type="dxa"/>
          </w:tcPr>
          <w:p w:rsidR="00156573" w:rsidRDefault="00156573" w:rsidP="00156573">
            <w:r>
              <w:t>U</w:t>
            </w:r>
            <w:r>
              <w:t>m Ihnen ein qualifiziertes Angebot, gerade für das System zur Angriffserkennung, erstellen zu</w:t>
            </w:r>
          </w:p>
          <w:p w:rsidR="00156573" w:rsidRDefault="00156573" w:rsidP="00156573">
            <w:r>
              <w:t>können, ist es erforderlich, die genauen Mengengerüste aller Netzwerkgeräte zu kennen, um das</w:t>
            </w:r>
            <w:r>
              <w:t xml:space="preserve"> </w:t>
            </w:r>
            <w:r>
              <w:t>geschätzte Datenaufkommen technisch und kaufmännisch in Bezug auf die Lizenzierung</w:t>
            </w:r>
            <w:r>
              <w:t xml:space="preserve"> </w:t>
            </w:r>
            <w:r>
              <w:t>berücksichtigen zu können. Dazu möchten wir Sie bitten, die für das SzA relevanten Systeme an</w:t>
            </w:r>
            <w:r>
              <w:t xml:space="preserve"> </w:t>
            </w:r>
            <w:r>
              <w:t>Ihren Standorten in die folgende Tabelle einzutragen:</w:t>
            </w:r>
          </w:p>
          <w:p w:rsidR="00156573" w:rsidRDefault="00156573" w:rsidP="00156573">
            <w:r>
              <w:t>Diese Informationen oder zumindest ein grobes Mengengerüst sind aus unserer Sicht zwingend</w:t>
            </w:r>
          </w:p>
          <w:p w:rsidR="00156573" w:rsidRDefault="00156573" w:rsidP="00156573">
            <w:r>
              <w:t>erforderlich, um ein Angebot abgeben zu können. Sollten Bedenken hinsichtlich der Einhaltung</w:t>
            </w:r>
            <w:r>
              <w:t xml:space="preserve"> </w:t>
            </w:r>
            <w:r>
              <w:t>der Datenschutzrichtlinie bestehen, können wir auch kurzfristig für den Zeitraum des</w:t>
            </w:r>
          </w:p>
          <w:p w:rsidR="00156573" w:rsidRDefault="00156573" w:rsidP="00156573">
            <w:r>
              <w:t>Vergabeverfahrens eine vorläufige Geheimhaltungserklärung schließen. Der verbundene</w:t>
            </w:r>
            <w:r>
              <w:t xml:space="preserve"> </w:t>
            </w:r>
            <w:r>
              <w:t>Informationenaustausch würde damit nur bilateral erfolgen.</w:t>
            </w:r>
          </w:p>
        </w:tc>
        <w:tc>
          <w:tcPr>
            <w:tcW w:w="3634" w:type="dxa"/>
          </w:tcPr>
          <w:p w:rsidR="00156573" w:rsidRDefault="00156573" w:rsidP="00156573">
            <w:r>
              <w:t>Folgende Systeme wollen wir agentenbasiert überwachen:</w:t>
            </w:r>
          </w:p>
          <w:p w:rsidR="00156573" w:rsidRPr="00B152B2" w:rsidRDefault="00156573" w:rsidP="00156573">
            <w:pPr>
              <w:rPr>
                <w:lang w:val="en-US"/>
              </w:rPr>
            </w:pPr>
            <w:r w:rsidRPr="00B152B2">
              <w:rPr>
                <w:lang w:val="en-US"/>
              </w:rPr>
              <w:t>5000 FatClients (Windows), 5000 ThinClients (IGEL OS + Citrix) und ca. 1300 Server</w:t>
            </w:r>
          </w:p>
          <w:p w:rsidR="00156573" w:rsidRDefault="00156573" w:rsidP="00156573">
            <w:r>
              <w:t>(Windows/Linux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>
            <w:r>
              <w:t>22</w:t>
            </w:r>
          </w:p>
        </w:tc>
        <w:tc>
          <w:tcPr>
            <w:tcW w:w="3458" w:type="dxa"/>
          </w:tcPr>
          <w:p w:rsidR="00156573" w:rsidRDefault="00156573" w:rsidP="00156573">
            <w:r>
              <w:t>I</w:t>
            </w:r>
            <w:r>
              <w:t>m Dokument "2b Anforderung Endpoint Detection" fordern Sie in Zeile 32 "Endpunkt-Agent</w:t>
            </w:r>
          </w:p>
          <w:p w:rsidR="00156573" w:rsidRDefault="00156573" w:rsidP="00156573">
            <w:r>
              <w:t>unterstützt folgende Windows-Betriebssysteme" diverse auch ältere Windows-Versionen, deren</w:t>
            </w:r>
          </w:p>
          <w:p w:rsidR="00156573" w:rsidRDefault="00156573" w:rsidP="00156573">
            <w:r>
              <w:t>Support seitens Microsoft regulär bereits ausgelaufen ist.</w:t>
            </w:r>
          </w:p>
          <w:p w:rsidR="00156573" w:rsidRDefault="00156573" w:rsidP="00156573">
            <w:r>
              <w:t>Gehen wir recht in der Annahme, dass dieses MUSS Kriterium als nicht erfüllt angesehen wird,</w:t>
            </w:r>
          </w:p>
          <w:p w:rsidR="00156573" w:rsidRDefault="00156573" w:rsidP="00156573">
            <w:r>
              <w:t>wenn der Hersteller des Agenten bereits ein End-of-Service Datum für die Unterstützung dieser</w:t>
            </w:r>
          </w:p>
          <w:p w:rsidR="00156573" w:rsidRDefault="00156573" w:rsidP="00156573">
            <w:r>
              <w:lastRenderedPageBreak/>
              <w:t>Betriebssysteme angekündigt hat und dieses EoS-Datum innerhalb der 36 Monate des</w:t>
            </w:r>
          </w:p>
          <w:p w:rsidR="00156573" w:rsidRDefault="00156573" w:rsidP="00156573">
            <w:r>
              <w:t>Vertrages, also vor Q4/2027 liegt?</w:t>
            </w:r>
          </w:p>
        </w:tc>
        <w:tc>
          <w:tcPr>
            <w:tcW w:w="3634" w:type="dxa"/>
          </w:tcPr>
          <w:p w:rsidR="00156573" w:rsidRDefault="00156573" w:rsidP="00156573">
            <w:r w:rsidRPr="00B152B2">
              <w:lastRenderedPageBreak/>
              <w:t>Die Annahme ist korrekt.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000B4A">
            <w:r>
              <w:t>2</w:t>
            </w:r>
            <w:r w:rsidR="00000B4A">
              <w:t>3</w:t>
            </w:r>
          </w:p>
        </w:tc>
        <w:tc>
          <w:tcPr>
            <w:tcW w:w="3458" w:type="dxa"/>
          </w:tcPr>
          <w:p w:rsidR="00156573" w:rsidRDefault="00156573" w:rsidP="00156573">
            <w:r>
              <w:t>gemäß ihres Dokumentes „Anlage 2a - Anforderungen SaZ (Wertung)“ weisen sie auf</w:t>
            </w:r>
          </w:p>
          <w:p w:rsidR="00156573" w:rsidRDefault="00156573" w:rsidP="00156573">
            <w:r>
              <w:t>„Auftragnehmerrelevante Faktoren aus der BSI Orientierungshilfe SzA“ hin, die im Angebot</w:t>
            </w:r>
          </w:p>
          <w:p w:rsidR="00156573" w:rsidRDefault="00156573" w:rsidP="00156573">
            <w:r>
              <w:t>Berücksichtigung finden können bzw. müssen. Uns sind nicht klar, wie ein EDR gänzlich den</w:t>
            </w:r>
          </w:p>
          <w:p w:rsidR="00156573" w:rsidRDefault="00156573" w:rsidP="00156573">
            <w:r>
              <w:t>genannten Funktionalitäten eines SzA entsprechen kann. Folgende genannte Kriterien</w:t>
            </w:r>
          </w:p>
          <w:p w:rsidR="00156573" w:rsidRDefault="00156573" w:rsidP="00156573">
            <w:r>
              <w:t>verweisen unserer Ansicht nach eher auf EDR-übersteigende Aspekte bzw. SIEM-</w:t>
            </w:r>
          </w:p>
          <w:p w:rsidR="00156573" w:rsidRDefault="00156573" w:rsidP="00156573">
            <w:r>
              <w:t>Funktionalitäten auf</w:t>
            </w:r>
            <w:r>
              <w:t xml:space="preserve"> /1, 4 und 7)</w:t>
            </w:r>
          </w:p>
        </w:tc>
        <w:tc>
          <w:tcPr>
            <w:tcW w:w="3634" w:type="dxa"/>
          </w:tcPr>
          <w:p w:rsidR="00156573" w:rsidRDefault="00156573" w:rsidP="00156573">
            <w:r>
              <w:t>Unser primäres Ziel ist die Implementierung eines EDR (Endpoint Detection and Response)</w:t>
            </w:r>
          </w:p>
          <w:p w:rsidR="00156573" w:rsidRDefault="00156573" w:rsidP="00156573">
            <w:r>
              <w:t>Systems inklusive eines MDR (Managed Detection and Response) Dienstleisters. Diese</w:t>
            </w:r>
          </w:p>
          <w:p w:rsidR="00156573" w:rsidRDefault="00156573" w:rsidP="00156573">
            <w:r>
              <w:t>Systeme sollen die Sicherheitsüberwachung und Reaktion auf Vorfälle auf Endpunkten</w:t>
            </w:r>
          </w:p>
          <w:p w:rsidR="00156573" w:rsidRDefault="00156573" w:rsidP="00156573">
            <w:r>
              <w:t>innerhalb unserer IT-Infrastruktur gewährleisten.</w:t>
            </w:r>
          </w:p>
          <w:p w:rsidR="00156573" w:rsidRDefault="00156573" w:rsidP="00156573">
            <w:r>
              <w:t>Unsere Ausschreibung legt den Fokus auf EDR- und MDR-Lösungen, um die Sicherheit der</w:t>
            </w:r>
          </w:p>
          <w:p w:rsidR="00156573" w:rsidRDefault="00156573" w:rsidP="00156573">
            <w:r>
              <w:t>Endpunkte zu erhöhen. Der Hinweis auf ein System zur Angriffserkennung (SzA), das über</w:t>
            </w:r>
          </w:p>
          <w:p w:rsidR="00156573" w:rsidRDefault="00156573" w:rsidP="00156573">
            <w:r>
              <w:t>die Funktionen eines EDR hinausgeht, dient dazu, potenzielle zukünftige Erweiterungen und</w:t>
            </w:r>
          </w:p>
          <w:p w:rsidR="00156573" w:rsidRDefault="00156573" w:rsidP="00156573">
            <w:r>
              <w:t>Integration weiterer Sicherheitslösungen zu berücksichtigen. Derzeit liegt der Schwerpunkt</w:t>
            </w:r>
          </w:p>
          <w:p w:rsidR="00156573" w:rsidRPr="005203A3" w:rsidRDefault="00156573" w:rsidP="00156573">
            <w:r>
              <w:t>jedoch auf der Implementierung eines robusten EDR- und MDR-Systems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000B4A">
            <w:r>
              <w:t>2</w:t>
            </w:r>
            <w:r w:rsidR="00000B4A">
              <w:t>4</w:t>
            </w:r>
          </w:p>
        </w:tc>
        <w:tc>
          <w:tcPr>
            <w:tcW w:w="3458" w:type="dxa"/>
          </w:tcPr>
          <w:p w:rsidR="00156573" w:rsidRDefault="00156573" w:rsidP="00156573">
            <w:r>
              <w:t>Hinweise zur Nr.4</w:t>
            </w:r>
          </w:p>
          <w:p w:rsidR="00156573" w:rsidRDefault="00156573" w:rsidP="00156573">
            <w:r>
              <w:t>In diesem Punkt verweisen Sie erneut auf die „Protokollierung auf System- und Netzebene“, so</w:t>
            </w:r>
          </w:p>
          <w:p w:rsidR="00156573" w:rsidRDefault="00156573" w:rsidP="00156573">
            <w:r>
              <w:t>dass wir erneut davon ausgehen müssen, dass ein System zum Einsatz kommen soll, welches</w:t>
            </w:r>
          </w:p>
          <w:p w:rsidR="00156573" w:rsidRDefault="00156573" w:rsidP="00156573">
            <w:r>
              <w:t>neben den Endpunkten auch sonstige im Netzwerk befindliche Quellen berücksichtigen soll.</w:t>
            </w:r>
          </w:p>
          <w:p w:rsidR="00156573" w:rsidRDefault="00156573" w:rsidP="00156573">
            <w:r>
              <w:t>Gemäß den von Ihnen angeführten Verweis auf OPS.1.1.5.A3 gilt: „Alle sicherheitsrelevanten</w:t>
            </w:r>
          </w:p>
          <w:p w:rsidR="00156573" w:rsidRDefault="00156573" w:rsidP="00156573">
            <w:r>
              <w:t>Ereignisse von IT-Systemen und Anwendungen MÜSSEN protokolliert werden. Sofern die in der</w:t>
            </w:r>
          </w:p>
          <w:p w:rsidR="00156573" w:rsidRDefault="00156573" w:rsidP="00156573">
            <w:r>
              <w:t>Protokollierungsrichtlinie als relevant definierten IT-Systeme und Anwendungen über eine</w:t>
            </w:r>
          </w:p>
          <w:p w:rsidR="00156573" w:rsidRDefault="00156573" w:rsidP="00156573">
            <w:r>
              <w:lastRenderedPageBreak/>
              <w:t>Protokollierungsfunktion verfügen, MUSS diese benutzt werden.“ Auch dies lässt den Schluss</w:t>
            </w:r>
          </w:p>
          <w:p w:rsidR="00156573" w:rsidRDefault="00156573" w:rsidP="00156573">
            <w:r>
              <w:t>einer erweiterten Berücksichtigung von Logquellen zu, so dass auch hier z.B. ein zusätzliches</w:t>
            </w:r>
          </w:p>
          <w:p w:rsidR="00156573" w:rsidRDefault="00156573" w:rsidP="00156573">
            <w:r>
              <w:t>NDR oder gar SIEM in Betracht kommen kann.</w:t>
            </w:r>
          </w:p>
          <w:p w:rsidR="00156573" w:rsidRDefault="00156573" w:rsidP="00156573">
            <w:r>
              <w:t>Außerdem ist gemäß OPS.1.1.5.A3 zu beachten: „Falls betriebs- und sicherheitsrelevante</w:t>
            </w:r>
          </w:p>
          <w:p w:rsidR="00156573" w:rsidRDefault="00156573" w:rsidP="00156573">
            <w:r>
              <w:t>Ereignisse nicht auf einem IT-System protokolliert werden können, MÜSSEN zusätzliche IT-</w:t>
            </w:r>
          </w:p>
          <w:p w:rsidR="00156573" w:rsidRDefault="00156573" w:rsidP="00156573">
            <w:r>
              <w:t>Systeme zur Protokollierung (z. B. von Ereignissen auf Netzebene) integriert werden.“ Auch hier</w:t>
            </w:r>
          </w:p>
          <w:p w:rsidR="00156573" w:rsidRDefault="00156573" w:rsidP="00156573">
            <w:r>
              <w:t>kann das Erfordernis eines SzA herausgelesen werden, dass die Funktion eines EDR deutlich</w:t>
            </w:r>
          </w:p>
          <w:p w:rsidR="00156573" w:rsidRDefault="00156573" w:rsidP="00156573">
            <w:r>
              <w:t>übersteigt.</w:t>
            </w:r>
          </w:p>
          <w:p w:rsidR="00156573" w:rsidRDefault="00156573" w:rsidP="00156573">
            <w:r>
              <w:t>Die angeführten Verweise suggerieren die Notwendigkeit SzA dass nicht mit einem EDR</w:t>
            </w:r>
          </w:p>
          <w:p w:rsidR="00156573" w:rsidRDefault="00156573" w:rsidP="00156573">
            <w:r>
              <w:t>gleichzusetzen ist, im Preisblatt besteht allerdings lediglich die Möglichkeit eines Angebotes für</w:t>
            </w:r>
          </w:p>
          <w:p w:rsidR="00156573" w:rsidRDefault="00156573" w:rsidP="00156573">
            <w:r>
              <w:t>EDR bzw. MDR-Systeme. Wir bitten daher um Aufklärung dieses Widerspruchs.</w:t>
            </w:r>
          </w:p>
        </w:tc>
        <w:tc>
          <w:tcPr>
            <w:tcW w:w="3634" w:type="dxa"/>
          </w:tcPr>
          <w:p w:rsidR="00156573" w:rsidRPr="005203A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Pr="005203A3" w:rsidRDefault="00156573" w:rsidP="00156573"/>
        </w:tc>
      </w:tr>
      <w:tr w:rsidR="00156573" w:rsidTr="007D0F10">
        <w:tc>
          <w:tcPr>
            <w:tcW w:w="985" w:type="dxa"/>
            <w:shd w:val="clear" w:color="auto" w:fill="D0CECE" w:themeFill="background2" w:themeFillShade="E6"/>
          </w:tcPr>
          <w:p w:rsidR="00156573" w:rsidRDefault="00156573" w:rsidP="00156573"/>
        </w:tc>
        <w:tc>
          <w:tcPr>
            <w:tcW w:w="7092" w:type="dxa"/>
            <w:gridSpan w:val="2"/>
            <w:shd w:val="clear" w:color="auto" w:fill="D0CECE" w:themeFill="background2" w:themeFillShade="E6"/>
          </w:tcPr>
          <w:p w:rsidR="00156573" w:rsidRPr="00000B4A" w:rsidRDefault="00156573" w:rsidP="00156573">
            <w:pPr>
              <w:rPr>
                <w:b/>
              </w:rPr>
            </w:pPr>
            <w:r w:rsidRPr="00000B4A">
              <w:rPr>
                <w:b/>
              </w:rPr>
              <w:t>Preisblatt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000B4A">
            <w:r>
              <w:t>2</w:t>
            </w:r>
            <w:r w:rsidR="00000B4A">
              <w:t>5</w:t>
            </w:r>
          </w:p>
        </w:tc>
        <w:tc>
          <w:tcPr>
            <w:tcW w:w="3458" w:type="dxa"/>
          </w:tcPr>
          <w:p w:rsidR="00156573" w:rsidRDefault="00156573" w:rsidP="00156573">
            <w:r>
              <w:t>Hinweis zur Nr. 7</w:t>
            </w:r>
            <w:r>
              <w:t xml:space="preserve"> aus Anlage 2a</w:t>
            </w:r>
          </w:p>
          <w:p w:rsidR="00156573" w:rsidRDefault="00156573" w:rsidP="00156573">
            <w:r>
              <w:t>Die Position fordert die Berücksichtigung verschiedener Quellen und nicht nur die der Endpoints</w:t>
            </w:r>
          </w:p>
          <w:p w:rsidR="00156573" w:rsidRDefault="00156573" w:rsidP="00156573">
            <w:r>
              <w:t>(EDR). Wir bitten auch hier um Konkretisierung.</w:t>
            </w:r>
          </w:p>
          <w:p w:rsidR="00156573" w:rsidRDefault="00156573" w:rsidP="00156573">
            <w:r>
              <w:t>Schwerpunkt der Ausschreibung ist die Überwachung von verschiedenen Endpunkten (Fat-</w:t>
            </w:r>
          </w:p>
          <w:p w:rsidR="00156573" w:rsidRPr="00B152B2" w:rsidRDefault="00156573" w:rsidP="00156573">
            <w:pPr>
              <w:rPr>
                <w:lang w:val="en-US"/>
              </w:rPr>
            </w:pPr>
            <w:r w:rsidRPr="00B152B2">
              <w:rPr>
                <w:lang w:val="en-US"/>
              </w:rPr>
              <w:t>Clients, ThinClients, CITRIX-Sessions, Server).</w:t>
            </w:r>
          </w:p>
          <w:p w:rsidR="00156573" w:rsidRDefault="00156573" w:rsidP="00156573">
            <w:r>
              <w:t>Gemäß Preisblatt weisen Sie folgende Positionen aus</w:t>
            </w:r>
            <w:r>
              <w:t>: (2, 3 und 4).</w:t>
            </w:r>
          </w:p>
          <w:p w:rsidR="00156573" w:rsidRDefault="00156573" w:rsidP="00156573">
            <w:r>
              <w:t>Position 2 nimmt die Lizenzkosten auf. Position 4 würde unsere Managementkosten beinhalten,</w:t>
            </w:r>
          </w:p>
          <w:p w:rsidR="00156573" w:rsidRDefault="00156573" w:rsidP="00156573">
            <w:r>
              <w:t xml:space="preserve">die für die laufende Leistungserbringung notwendig </w:t>
            </w:r>
            <w:r>
              <w:lastRenderedPageBreak/>
              <w:t>sind. Was erwarten Sie in Position 3? Sollen</w:t>
            </w:r>
          </w:p>
          <w:p w:rsidR="00156573" w:rsidRDefault="00156573" w:rsidP="00156573">
            <w:r>
              <w:t>hier ggf. die Kosten für Herstellersupport, IOC etc. Berücksichtigung finden?</w:t>
            </w:r>
            <w:r>
              <w:t xml:space="preserve"> </w:t>
            </w:r>
          </w:p>
        </w:tc>
        <w:tc>
          <w:tcPr>
            <w:tcW w:w="3634" w:type="dxa"/>
          </w:tcPr>
          <w:p w:rsidR="00156573" w:rsidRPr="005203A3" w:rsidRDefault="00156573" w:rsidP="00156573">
            <w:r w:rsidRPr="00030793">
              <w:lastRenderedPageBreak/>
              <w:t>Korrekt.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Pr="005203A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000B4A">
            <w:r>
              <w:t>2</w:t>
            </w:r>
            <w:r w:rsidR="00000B4A">
              <w:t>6</w:t>
            </w:r>
          </w:p>
        </w:tc>
        <w:tc>
          <w:tcPr>
            <w:tcW w:w="3458" w:type="dxa"/>
          </w:tcPr>
          <w:p w:rsidR="00156573" w:rsidRDefault="00156573" w:rsidP="00156573">
            <w:r>
              <w:t>„In Position 1 berücksichtigen Sie die Darstellung für nötige Aufwände bei der Installation/</w:t>
            </w:r>
          </w:p>
          <w:p w:rsidR="00156573" w:rsidRDefault="00156573" w:rsidP="00156573">
            <w:r>
              <w:t>Einrichtung etc. Diese Position weicht je nach Größe und Anforderung der Klinik voneinander</w:t>
            </w:r>
          </w:p>
          <w:p w:rsidR="00156573" w:rsidRDefault="00156573" w:rsidP="00156573">
            <w:r>
              <w:t>ab. Erwarten Sie hier eine Angabe über alle Kliniken hinweg. Hieraus ergibt sich das Prinzip</w:t>
            </w:r>
          </w:p>
          <w:p w:rsidR="00156573" w:rsidRDefault="00156573" w:rsidP="00156573">
            <w:r>
              <w:t>„First come, First Served“. Wie soll mit dem Fall umgegangen werden, dass aufgrund</w:t>
            </w:r>
          </w:p>
          <w:p w:rsidR="00156573" w:rsidRDefault="00156573" w:rsidP="00156573">
            <w:r>
              <w:t>übermäßiger Aufwände bei den ersten Kliniken kein ausreichendes Budget für die letzten</w:t>
            </w:r>
          </w:p>
          <w:p w:rsidR="00156573" w:rsidRDefault="00156573" w:rsidP="00156573">
            <w:r>
              <w:t>Kliniken zur Verfügung steht. Können Sie, um das Problem zu reduzieren, eine</w:t>
            </w:r>
          </w:p>
          <w:p w:rsidR="00156573" w:rsidRDefault="00156573" w:rsidP="00156573">
            <w:r>
              <w:t>Aufwandschätzung oder Flexibilisierung der Position ermöglichen? Es würde auch helfen, wenn</w:t>
            </w:r>
          </w:p>
          <w:p w:rsidR="00156573" w:rsidRDefault="00156573" w:rsidP="00156573">
            <w:r>
              <w:t>sie die Endpunkte pro Klinik angeben.</w:t>
            </w:r>
          </w:p>
          <w:p w:rsidR="00156573" w:rsidRDefault="00156573" w:rsidP="00156573">
            <w:r>
              <w:t>Bitte für Position 1 einen Wert für den Gesamtaufwand darstellen, über alle Endpunkte und</w:t>
            </w:r>
          </w:p>
          <w:p w:rsidR="00156573" w:rsidRDefault="00156573" w:rsidP="00156573">
            <w:r>
              <w:t>Standorte. Bitte beachten, dass die Softwareverteilung beim Auftraggeber liegt. Ein</w:t>
            </w:r>
          </w:p>
          <w:p w:rsidR="00156573" w:rsidRDefault="00156573" w:rsidP="00156573">
            <w:r>
              <w:t>standortbezogenes Mengengerüst wird ihnen nach Vertragsschluss zugearbeitet.</w:t>
            </w:r>
          </w:p>
          <w:p w:rsidR="00156573" w:rsidRDefault="00156573" w:rsidP="00156573">
            <w:r>
              <w:t>Aufgrund des von Ihnen geforderten Erfordernis der Wirtschaftlichkeit möchten wir Sie um die</w:t>
            </w:r>
          </w:p>
          <w:p w:rsidR="00156573" w:rsidRDefault="00156573" w:rsidP="00156573">
            <w:r>
              <w:t>Definition einer Mindestabnahmemenge bitten, da so ein bessere Projektpreis erzielt werden</w:t>
            </w:r>
          </w:p>
          <w:p w:rsidR="00156573" w:rsidRDefault="00156573" w:rsidP="00156573">
            <w:r>
              <w:t>kann.“</w:t>
            </w:r>
          </w:p>
        </w:tc>
        <w:tc>
          <w:tcPr>
            <w:tcW w:w="3634" w:type="dxa"/>
          </w:tcPr>
          <w:p w:rsidR="00156573" w:rsidRPr="005203A3" w:rsidRDefault="00156573" w:rsidP="00156573">
            <w:r w:rsidRPr="00030793">
              <w:t>Ziel ist die Überwachung von ca. 12.000 Endpunkten. Eine Mindestmenge wird nicht definiert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Pr="005203A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000B4A">
            <w:r>
              <w:t>2</w:t>
            </w:r>
            <w:r w:rsidR="00000B4A">
              <w:t>7</w:t>
            </w:r>
          </w:p>
        </w:tc>
        <w:tc>
          <w:tcPr>
            <w:tcW w:w="3458" w:type="dxa"/>
          </w:tcPr>
          <w:p w:rsidR="00156573" w:rsidRDefault="00156573" w:rsidP="00156573">
            <w:r>
              <w:t>Sie fordern im Preisblatt unter Position "Nr. 1" einen Preis für Onboarding-</w:t>
            </w:r>
          </w:p>
          <w:p w:rsidR="00156573" w:rsidRDefault="00156573" w:rsidP="00156573">
            <w:r>
              <w:lastRenderedPageBreak/>
              <w:t>Dienstleistung. In der Anlage 1 - Liste der Auftraggeber" geben sie zudem 20 verschiedene</w:t>
            </w:r>
          </w:p>
          <w:p w:rsidR="00156573" w:rsidRDefault="00156573" w:rsidP="00156573">
            <w:r>
              <w:t>Auftraggeber an. Gehen wir recht in der Annahme, dass die Position Nr 1 im Preisblatt sich auf</w:t>
            </w:r>
          </w:p>
          <w:p w:rsidR="00156573" w:rsidRDefault="00156573" w:rsidP="00156573">
            <w:r>
              <w:t>die Installation für jeweils einen Auftraggeber beziehen soll? Heißt: Sofern die Position von</w:t>
            </w:r>
          </w:p>
          <w:p w:rsidR="00156573" w:rsidRDefault="00156573" w:rsidP="00156573">
            <w:r>
              <w:t>mehreren Auftraggebern abgerufen wird kann die Position gemäß des Mehraufwands auch</w:t>
            </w:r>
          </w:p>
          <w:p w:rsidR="00156573" w:rsidRDefault="00156573" w:rsidP="00156573">
            <w:r>
              <w:t>mehrfach abgerechnet werden?</w:t>
            </w:r>
          </w:p>
          <w:p w:rsidR="00156573" w:rsidRDefault="00156573" w:rsidP="00156573">
            <w:r>
              <w:t>Da AMEOS aus eigenen Gesellschaften besteht, die einzeln arbeitet, ist es für den Bieter sonst</w:t>
            </w:r>
          </w:p>
          <w:p w:rsidR="00156573" w:rsidRDefault="00156573" w:rsidP="00156573">
            <w:r>
              <w:t>schwierig abzuschätzen wie hoch der tatsächliche Aufwand wirklich ist. Diese Unsicherheit kann</w:t>
            </w:r>
          </w:p>
          <w:p w:rsidR="00156573" w:rsidRDefault="00156573" w:rsidP="00156573">
            <w:r>
              <w:t>zu erheblichen Schwierigkeiten in der Kalkulation und Planung der Ressourcen führen. Daher</w:t>
            </w:r>
          </w:p>
          <w:p w:rsidR="00156573" w:rsidRDefault="00156573" w:rsidP="00156573">
            <w:r>
              <w:t>ist eine klare Definition der Abrechnungsmodalitäten und der zu erwartenden Einsatzorte</w:t>
            </w:r>
          </w:p>
          <w:p w:rsidR="00156573" w:rsidRDefault="00156573" w:rsidP="00156573">
            <w:r>
              <w:t>notwendig, um eine verlässliche Angebotserstellung sicherzustellen. Falls nein, legen Sie bitte</w:t>
            </w:r>
          </w:p>
          <w:p w:rsidR="00156573" w:rsidRDefault="00156573" w:rsidP="00156573">
            <w:r>
              <w:t>dar wie das Lösungsdesign grundsätzlich aussehen soll, damit Bieter nur eine einmalige</w:t>
            </w:r>
          </w:p>
          <w:p w:rsidR="00156573" w:rsidRDefault="00156573" w:rsidP="00156573">
            <w:r>
              <w:t>Onboarding-Leistung für alle 20 Auftraggeber kalkulieren und anbieten können."</w:t>
            </w:r>
          </w:p>
        </w:tc>
        <w:tc>
          <w:tcPr>
            <w:tcW w:w="3634" w:type="dxa"/>
          </w:tcPr>
          <w:p w:rsidR="00156573" w:rsidRDefault="00156573" w:rsidP="00156573">
            <w:r>
              <w:lastRenderedPageBreak/>
              <w:t>Die AMEOS IT Services übernimmt die Installationen an den Standorten.</w:t>
            </w:r>
          </w:p>
          <w:p w:rsidR="00156573" w:rsidRDefault="00156573" w:rsidP="00156573">
            <w:r>
              <w:lastRenderedPageBreak/>
              <w:t>Kommentiert [GM1]: Herr Gabbert ansprechen</w:t>
            </w:r>
          </w:p>
          <w:p w:rsidR="00156573" w:rsidRDefault="00156573" w:rsidP="00156573">
            <w:r>
              <w:t>Die geforderten Onboarding Leistungen werden von uns als eine Leistung betrachtet, die</w:t>
            </w:r>
          </w:p>
          <w:p w:rsidR="00156573" w:rsidRDefault="00156573" w:rsidP="00156573">
            <w:r>
              <w:t>einmalig erbracht wird. Bitte beachten Sie dazu die angeführten Punkte in Anlage 3</w:t>
            </w:r>
          </w:p>
          <w:p w:rsidR="00156573" w:rsidRDefault="00156573" w:rsidP="00156573">
            <w:r>
              <w:t>Preisblatt(final), lfd. Nr. 1</w:t>
            </w:r>
          </w:p>
          <w:p w:rsidR="00156573" w:rsidRDefault="00156573" w:rsidP="00156573">
            <w:r>
              <w:t>Die Onboarding Leistungen werden im Bedarfsfall von der AMEOS IT Services in Anspruch</w:t>
            </w:r>
          </w:p>
          <w:p w:rsidR="00156573" w:rsidRPr="005203A3" w:rsidRDefault="00156573" w:rsidP="00156573">
            <w:r>
              <w:t>genommen, die für alle Standorte und Auftraggeber agiert.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Pr="005203A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000B4A" w:rsidP="00156573">
            <w:r>
              <w:t>28</w:t>
            </w:r>
          </w:p>
        </w:tc>
        <w:tc>
          <w:tcPr>
            <w:tcW w:w="3458" w:type="dxa"/>
          </w:tcPr>
          <w:p w:rsidR="00156573" w:rsidRDefault="00156573" w:rsidP="00156573">
            <w:r>
              <w:t>Der Fragesteller der Frage 1 aus den Bieterfragenantworten vom 05.08.2024 hat sich vermutlich</w:t>
            </w:r>
          </w:p>
          <w:p w:rsidR="00156573" w:rsidRDefault="00156573" w:rsidP="00156573">
            <w:r>
              <w:t>in der Zeile geirrt worauf auch der Verweis auf Zeile 32 hindeutet obwohl es inhaltlich um die zu</w:t>
            </w:r>
          </w:p>
          <w:p w:rsidR="00156573" w:rsidRDefault="00156573" w:rsidP="00156573">
            <w:r>
              <w:t>unterstützenden Windows-Betriebssysteme durch den Endpunkt-Agent geht. Wir bitten um</w:t>
            </w:r>
          </w:p>
          <w:p w:rsidR="00156573" w:rsidRDefault="00156573" w:rsidP="00156573">
            <w:r>
              <w:t>Beantwortung folgender Fragen zum Kriterium: 1. Gehen wir recht in der Annahme, dass das</w:t>
            </w:r>
          </w:p>
          <w:p w:rsidR="00156573" w:rsidRDefault="00156573" w:rsidP="00156573">
            <w:r>
              <w:t>Kriterium aus Zeile 33 der Anlage 2 (b) entgegen der Verlautbarung des Fragenstellers und wie</w:t>
            </w:r>
          </w:p>
          <w:p w:rsidR="00156573" w:rsidRDefault="00156573" w:rsidP="00156573">
            <w:r>
              <w:lastRenderedPageBreak/>
              <w:t>in Anlage 2 (b) selbst aufgeführt ein KANN-Kriterium darstellt? 2. Können Sie uns darüber</w:t>
            </w:r>
          </w:p>
          <w:p w:rsidR="00156573" w:rsidRDefault="00156573" w:rsidP="00156573">
            <w:r>
              <w:t>hinaus bitte mitteilen wie der Auftraggeber dieses Kriterium bewertet wenn einzelne dieser</w:t>
            </w:r>
          </w:p>
          <w:p w:rsidR="00156573" w:rsidRDefault="00156573" w:rsidP="00156573">
            <w:r>
              <w:t>Betriebssysteme nicht mehr vom Endpunkt-Agent unterstützt werden, diese nicht unterstützen</w:t>
            </w:r>
          </w:p>
          <w:p w:rsidR="00156573" w:rsidRDefault="00156573" w:rsidP="00156573">
            <w:r>
              <w:t>Betriebssystem selbst wiederum aber auch bei Microsoft auf den Status End of Life gesetzt</w:t>
            </w:r>
          </w:p>
          <w:p w:rsidR="00156573" w:rsidRDefault="00156573" w:rsidP="00156573">
            <w:r>
              <w:t>worden sind?</w:t>
            </w:r>
          </w:p>
        </w:tc>
        <w:tc>
          <w:tcPr>
            <w:tcW w:w="3634" w:type="dxa"/>
          </w:tcPr>
          <w:p w:rsidR="00156573" w:rsidRDefault="00156573" w:rsidP="00156573">
            <w:r>
              <w:lastRenderedPageBreak/>
              <w:t>Wir möchten Sie darüber informieren, dass wir derzeit keine Auskunft über die Gewichtung</w:t>
            </w:r>
          </w:p>
          <w:p w:rsidR="00156573" w:rsidRDefault="00156573" w:rsidP="00156573">
            <w:r>
              <w:t>einzelner Anforderungen im Bewertungsprozess geben können. Wir bitten um Ihr Verständnis,</w:t>
            </w:r>
          </w:p>
          <w:p w:rsidR="00156573" w:rsidRDefault="00156573" w:rsidP="00156573">
            <w:r>
              <w:t>dass diese Informationen vertraulich behandelt werden. Dennoch ist es uns wichtig zu betonen,</w:t>
            </w:r>
          </w:p>
          <w:p w:rsidR="00156573" w:rsidRDefault="00156573" w:rsidP="00156573">
            <w:r>
              <w:t>dass die Überwachung vereinzelter End-of-Life (EOL)-Systeme ein Aspekt unserer</w:t>
            </w:r>
          </w:p>
          <w:p w:rsidR="00156573" w:rsidRDefault="00156573" w:rsidP="00156573">
            <w:r>
              <w:t>Anforderungen ist. Auch wenn bestimmte Betriebssysteme von Microsoft auf den Status End of</w:t>
            </w:r>
          </w:p>
          <w:p w:rsidR="00156573" w:rsidRDefault="00156573" w:rsidP="00156573">
            <w:r>
              <w:t>Life gesetzt wurden, erwarten wir, dass diese Systeme überwacht werden können, um die</w:t>
            </w:r>
          </w:p>
          <w:p w:rsidR="00156573" w:rsidRPr="005203A3" w:rsidRDefault="00156573" w:rsidP="00156573">
            <w:r>
              <w:lastRenderedPageBreak/>
              <w:t>Sicherheit der gesamten Infrastruktur zu gewährleisten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Pr="005203A3" w:rsidRDefault="00156573" w:rsidP="00156573"/>
        </w:tc>
      </w:tr>
      <w:tr w:rsidR="00156573" w:rsidTr="007D0F10">
        <w:tc>
          <w:tcPr>
            <w:tcW w:w="985" w:type="dxa"/>
          </w:tcPr>
          <w:p w:rsidR="00156573" w:rsidRPr="00030793" w:rsidRDefault="00156573" w:rsidP="00156573">
            <w:pPr>
              <w:rPr>
                <w:b/>
              </w:rPr>
            </w:pPr>
          </w:p>
        </w:tc>
        <w:tc>
          <w:tcPr>
            <w:tcW w:w="7092" w:type="dxa"/>
            <w:gridSpan w:val="2"/>
            <w:shd w:val="clear" w:color="auto" w:fill="D0CECE" w:themeFill="background2" w:themeFillShade="E6"/>
          </w:tcPr>
          <w:p w:rsidR="00156573" w:rsidRPr="005203A3" w:rsidRDefault="00156573" w:rsidP="00156573">
            <w:r w:rsidRPr="00030793">
              <w:rPr>
                <w:b/>
              </w:rPr>
              <w:t>ADV-Vereinbarung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Pr="005203A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000B4A" w:rsidP="00156573">
            <w:r>
              <w:t>29</w:t>
            </w:r>
          </w:p>
        </w:tc>
        <w:tc>
          <w:tcPr>
            <w:tcW w:w="3458" w:type="dxa"/>
          </w:tcPr>
          <w:p w:rsidR="00156573" w:rsidRDefault="00156573" w:rsidP="00156573">
            <w:r>
              <w:t>Die Bieterfrage hat thematisiert, dass die ausgeschriebene Dienstleistung gemäß</w:t>
            </w:r>
          </w:p>
          <w:p w:rsidR="00156573" w:rsidRDefault="00156573" w:rsidP="00156573">
            <w:r>
              <w:t>§3 (2) TDDDG nicht unter die Verpflichtung zur Wahrung des Fernmeldegeheimnisses fällt.</w:t>
            </w:r>
          </w:p>
          <w:p w:rsidR="00156573" w:rsidRDefault="00156573" w:rsidP="00156573">
            <w:r>
              <w:t>Könnten Sie bitte erläutern, auf welcher Rechtsgrundlage Sie die Verpflichtung zur Wahrung</w:t>
            </w:r>
            <w:r>
              <w:t xml:space="preserve"> </w:t>
            </w:r>
            <w:r>
              <w:t>des Fernmeldegeheimnisses weiterhin in §7 (6) der Anlage 4 fordern?“</w:t>
            </w:r>
          </w:p>
          <w:p w:rsidR="00156573" w:rsidRDefault="00156573" w:rsidP="00156573">
            <w:r>
              <w:t>„Zu Frage 5: Ist es denn zulässig, ein separates Dokument beizufügen und in den Antworten in</w:t>
            </w:r>
          </w:p>
          <w:p w:rsidR="00156573" w:rsidRDefault="00156573" w:rsidP="00156573">
            <w:r>
              <w:t>Anlage 1 der Anlage 4 (Technische und organisatorische Maßnahmen) auf dieses Dokument zu</w:t>
            </w:r>
            <w:r>
              <w:t xml:space="preserve"> </w:t>
            </w:r>
            <w:r>
              <w:t>verweisen, wo es der Präzisierung der Antworten dient?“</w:t>
            </w:r>
          </w:p>
        </w:tc>
        <w:tc>
          <w:tcPr>
            <w:tcW w:w="3634" w:type="dxa"/>
          </w:tcPr>
          <w:p w:rsidR="00156573" w:rsidRDefault="00156573" w:rsidP="00156573">
            <w:r>
              <w:t>Wir verstehen Ihre Bedenken hinsichtlich der Ausschreibung und der Bezugnahme auf §3 (2)</w:t>
            </w:r>
          </w:p>
          <w:p w:rsidR="00156573" w:rsidRDefault="00156573" w:rsidP="00156573">
            <w:r>
              <w:t>des Telekommunikation-Digitale-Dienste-Datenschutz-Gesetzes (TDDDG). Es ist korrekt, dass</w:t>
            </w:r>
          </w:p>
          <w:p w:rsidR="00156573" w:rsidRDefault="00156573" w:rsidP="00156573">
            <w:r>
              <w:t>gemäß §3 (2) TDDDG bestimmte Dienstleistungen möglicherweise nicht unter die Verpflichtung</w:t>
            </w:r>
          </w:p>
          <w:p w:rsidR="00156573" w:rsidRDefault="00156573" w:rsidP="00156573">
            <w:r>
              <w:t>zur Wahrung des Fernmeldegeheimnisses fallen.</w:t>
            </w:r>
          </w:p>
          <w:p w:rsidR="00156573" w:rsidRDefault="00156573" w:rsidP="00156573">
            <w:r>
              <w:t>Jedoch basiert unsere Forderung zur Wahrung des Fernmeldegeheimnisses in §7 (6) der</w:t>
            </w:r>
          </w:p>
          <w:p w:rsidR="00156573" w:rsidRDefault="00156573" w:rsidP="00156573">
            <w:r>
              <w:t>Anlage 4 auf einer breiteren Interpretation der bestehenden Datenschutz- und</w:t>
            </w:r>
          </w:p>
          <w:p w:rsidR="00156573" w:rsidRDefault="00156573" w:rsidP="00156573">
            <w:r>
              <w:t>Sicherheitsanforderungen. Insbesondere möchten wir sicherstellen, dass alle Daten und</w:t>
            </w:r>
          </w:p>
          <w:p w:rsidR="00156573" w:rsidRPr="005203A3" w:rsidRDefault="00156573" w:rsidP="00156573">
            <w:r>
              <w:t>Kommunikationen, die im Rahmen der Dienstleistung verarbeitet oder übertragen werden, den</w:t>
            </w:r>
            <w:r>
              <w:t xml:space="preserve"> </w:t>
            </w:r>
            <w:r>
              <w:t>höchsten Sicherheitsstandards entsprechen und das Vertrauen unserer Nutzer gewahrt bleibt.</w:t>
            </w:r>
            <w:r>
              <w:t xml:space="preserve"> </w:t>
            </w:r>
            <w:r>
              <w:t>Bitte füllen Sie die Anlage 1 zur A</w:t>
            </w:r>
            <w:r>
              <w:t>n</w:t>
            </w:r>
            <w:r>
              <w:t>lage 4 aus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Pr="005203A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000B4A" w:rsidP="00156573">
            <w:r>
              <w:t>30</w:t>
            </w:r>
          </w:p>
        </w:tc>
        <w:tc>
          <w:tcPr>
            <w:tcW w:w="3458" w:type="dxa"/>
          </w:tcPr>
          <w:p w:rsidR="00156573" w:rsidRDefault="00156573" w:rsidP="00156573">
            <w:r>
              <w:t>Ist es gestattet, die getroffenen technischen und organisatorischen Maßnahmen</w:t>
            </w:r>
          </w:p>
          <w:p w:rsidR="00156573" w:rsidRDefault="00156573" w:rsidP="00156573">
            <w:r>
              <w:t>in einem eignen Dokument zusammenzustellen und darauf zu referenzieren, ohne die Anlage 1</w:t>
            </w:r>
          </w:p>
          <w:p w:rsidR="00156573" w:rsidRDefault="00156573" w:rsidP="00156573">
            <w:r>
              <w:t>zu §7 Abs. 3 auszufüllen?</w:t>
            </w:r>
          </w:p>
          <w:p w:rsidR="00156573" w:rsidRDefault="00156573" w:rsidP="00156573"/>
        </w:tc>
        <w:tc>
          <w:tcPr>
            <w:tcW w:w="3634" w:type="dxa"/>
          </w:tcPr>
          <w:p w:rsidR="00156573" w:rsidRDefault="00156573" w:rsidP="00156573">
            <w:r>
              <w:t>Nein, bitte die Vorlagen befüllen (Anlage 1 und 2 zur Anlage 4 Auftragsdatenverarbeitungsvertrag)</w:t>
            </w:r>
          </w:p>
          <w:p w:rsidR="00156573" w:rsidRPr="005203A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Pr="005203A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000B4A" w:rsidP="00156573">
            <w:pPr>
              <w:tabs>
                <w:tab w:val="left" w:pos="2980"/>
              </w:tabs>
            </w:pPr>
            <w:r>
              <w:t>31</w:t>
            </w:r>
          </w:p>
        </w:tc>
        <w:tc>
          <w:tcPr>
            <w:tcW w:w="3458" w:type="dxa"/>
          </w:tcPr>
          <w:p w:rsidR="00156573" w:rsidRDefault="00156573" w:rsidP="00156573">
            <w:pPr>
              <w:tabs>
                <w:tab w:val="left" w:pos="2980"/>
              </w:tabs>
            </w:pPr>
            <w:r>
              <w:t>Frage zu §11 (4) der ADV</w:t>
            </w:r>
          </w:p>
          <w:p w:rsidR="00156573" w:rsidRDefault="00156573" w:rsidP="00156573">
            <w:pPr>
              <w:tabs>
                <w:tab w:val="left" w:pos="2980"/>
              </w:tabs>
            </w:pPr>
            <w:r>
              <w:t>Der Auftragnehmer ist nach Beendigung des Vertrages verpflichtet, empfangene Daten</w:t>
            </w:r>
          </w:p>
          <w:p w:rsidR="00156573" w:rsidRDefault="00156573" w:rsidP="00156573">
            <w:pPr>
              <w:tabs>
                <w:tab w:val="left" w:pos="2980"/>
              </w:tabs>
            </w:pPr>
            <w:r>
              <w:t>unwiderruflich zu löschen. Ist die Annahme richtig, dass dies nicht für Daten gilt (z.B. E-Mails)</w:t>
            </w:r>
          </w:p>
          <w:p w:rsidR="00156573" w:rsidRDefault="00156573" w:rsidP="00156573">
            <w:pPr>
              <w:tabs>
                <w:tab w:val="left" w:pos="2980"/>
              </w:tabs>
            </w:pPr>
            <w:r>
              <w:t>die gesetzlichen Aufbewahrungspflichten unterliegen? Wir führen zudem tägliche</w:t>
            </w:r>
          </w:p>
          <w:p w:rsidR="00156573" w:rsidRDefault="00156573" w:rsidP="00156573">
            <w:pPr>
              <w:tabs>
                <w:tab w:val="left" w:pos="2980"/>
              </w:tabs>
            </w:pPr>
            <w:r>
              <w:t>Datensicherungen/ Backups durch. Die Löschung von Daten, die im Rahmen dieser</w:t>
            </w:r>
          </w:p>
          <w:p w:rsidR="00156573" w:rsidRDefault="00156573" w:rsidP="00156573">
            <w:pPr>
              <w:tabs>
                <w:tab w:val="left" w:pos="2980"/>
              </w:tabs>
            </w:pPr>
            <w:r>
              <w:t>regelmäßigen Datensicherungen gesichert werden, ist für uns mit einem erheblichen Aufwand</w:t>
            </w:r>
          </w:p>
          <w:p w:rsidR="00156573" w:rsidRDefault="00156573" w:rsidP="00156573">
            <w:pPr>
              <w:tabs>
                <w:tab w:val="left" w:pos="2980"/>
              </w:tabs>
            </w:pPr>
            <w:r>
              <w:t>verbunden. Wir möchten deshalb folgende Ergänzung der Ziff. 11 vorschlagen:</w:t>
            </w:r>
          </w:p>
          <w:p w:rsidR="00156573" w:rsidRDefault="00156573" w:rsidP="00156573">
            <w:pPr>
              <w:tabs>
                <w:tab w:val="left" w:pos="2980"/>
              </w:tabs>
            </w:pPr>
            <w:r>
              <w:t>„Ausgenommen von vorstehender Löschpflicht sind solche Informationen, die im Rahmen von</w:t>
            </w:r>
          </w:p>
          <w:p w:rsidR="00156573" w:rsidRDefault="00156573" w:rsidP="00156573">
            <w:pPr>
              <w:tabs>
                <w:tab w:val="left" w:pos="2980"/>
              </w:tabs>
            </w:pPr>
            <w:r>
              <w:t>regelmäßigen Datensicherungen gesichert wurden, sofern ihre Löschung einen</w:t>
            </w:r>
          </w:p>
          <w:p w:rsidR="00156573" w:rsidRDefault="00156573" w:rsidP="00156573">
            <w:pPr>
              <w:tabs>
                <w:tab w:val="left" w:pos="2980"/>
              </w:tabs>
            </w:pPr>
            <w:r>
              <w:t>unverhältnismäßigen Aufwand verursachen würde und der Auftragnehmer diese Sicherungen</w:t>
            </w:r>
          </w:p>
          <w:p w:rsidR="00156573" w:rsidRDefault="00156573" w:rsidP="00156573">
            <w:pPr>
              <w:tabs>
                <w:tab w:val="left" w:pos="2980"/>
              </w:tabs>
            </w:pPr>
            <w:r>
              <w:t>mit dem jeweils aktuellen Stand der Technik entsprechenden Sicherungsmaßnahmen vor</w:t>
            </w:r>
          </w:p>
          <w:p w:rsidR="00156573" w:rsidRDefault="00156573" w:rsidP="00156573">
            <w:pPr>
              <w:tabs>
                <w:tab w:val="left" w:pos="2980"/>
              </w:tabs>
            </w:pPr>
            <w:r>
              <w:t>unbefugtem Zugriff Dritter schützt.“</w:t>
            </w:r>
          </w:p>
          <w:p w:rsidR="00156573" w:rsidRDefault="00156573" w:rsidP="00156573">
            <w:pPr>
              <w:tabs>
                <w:tab w:val="left" w:pos="2980"/>
              </w:tabs>
            </w:pPr>
            <w:r>
              <w:t>Sind Sie mit einer solchen Ergänzung einverstanden?"</w:t>
            </w:r>
          </w:p>
        </w:tc>
        <w:tc>
          <w:tcPr>
            <w:tcW w:w="3634" w:type="dxa"/>
          </w:tcPr>
          <w:p w:rsidR="00156573" w:rsidRDefault="00156573" w:rsidP="00156573">
            <w:r>
              <w:t>Wegen der Frage zu den Aufbewahrungsfristen wird auf den Wortlaut der Regelung in § 11</w:t>
            </w:r>
          </w:p>
          <w:p w:rsidR="00156573" w:rsidRDefault="00156573" w:rsidP="00156573">
            <w:r>
              <w:t>Abs. 4 verwiesen, die bereits die Einsch</w:t>
            </w:r>
            <w:r>
              <w:t>r</w:t>
            </w:r>
            <w:r>
              <w:t>änkung: "sofern nicht nach dem Unionsrecht oder dem</w:t>
            </w:r>
          </w:p>
          <w:p w:rsidR="00156573" w:rsidRDefault="00156573" w:rsidP="00156573">
            <w:r>
              <w:t>für den Auftragnehmer geltendem nationalen Recht eine Verpflichtung zur Speicherung der</w:t>
            </w:r>
          </w:p>
          <w:p w:rsidR="00156573" w:rsidRDefault="00156573" w:rsidP="00156573">
            <w:r>
              <w:t>personenbezogenen Daten besteht." enthält. Warum eine nochmalige Klarstellung erforderlich</w:t>
            </w:r>
          </w:p>
          <w:p w:rsidR="00156573" w:rsidRDefault="00156573" w:rsidP="00156573">
            <w:r>
              <w:t>sein soll, erschließt sich daher nicht.</w:t>
            </w:r>
          </w:p>
          <w:p w:rsidR="00156573" w:rsidRDefault="00156573" w:rsidP="00156573">
            <w:r>
              <w:t>Eine Ausnahme von der vorgesehenen Löschungspflicht gemäß dem Ergänzungsvorschlag</w:t>
            </w:r>
          </w:p>
          <w:p w:rsidR="00156573" w:rsidRDefault="00156573" w:rsidP="00156573">
            <w:r>
              <w:t>wird nicht akzeptiert.</w:t>
            </w:r>
          </w:p>
          <w:p w:rsidR="00156573" w:rsidRDefault="00156573" w:rsidP="00156573">
            <w:r>
              <w:t>Eine Ausnahme von den Löschungspflichten nach DSGVO sieht § 35 BDSG nur für Fälle der</w:t>
            </w:r>
          </w:p>
          <w:p w:rsidR="00156573" w:rsidRDefault="00156573" w:rsidP="00156573">
            <w:r>
              <w:t>nicht automatisierten Datenverarbeitung vor, die nach der Anfrage des Bieters gerade nicht</w:t>
            </w:r>
          </w:p>
          <w:p w:rsidR="00156573" w:rsidRPr="005203A3" w:rsidRDefault="00156573" w:rsidP="00156573">
            <w:r>
              <w:t>vorliegt. Der Ergänzung wird daher nicht zugestimmt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Pr="005203A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000B4A" w:rsidP="00156573">
            <w:r>
              <w:t>32</w:t>
            </w:r>
          </w:p>
        </w:tc>
        <w:tc>
          <w:tcPr>
            <w:tcW w:w="3458" w:type="dxa"/>
          </w:tcPr>
          <w:p w:rsidR="00156573" w:rsidRDefault="00156573" w:rsidP="00156573">
            <w:r>
              <w:t>Unter Punkt 2.1 werden nunmehr das ""Führen einer Übersicht von regelmäßigen Abruf- und</w:t>
            </w:r>
          </w:p>
          <w:p w:rsidR="00156573" w:rsidRDefault="00156573" w:rsidP="00156573">
            <w:r>
              <w:t>Übermittlungsvorgängen"" als auch ""Dokumentation von der Abruf- und</w:t>
            </w:r>
          </w:p>
          <w:p w:rsidR="00156573" w:rsidRDefault="00156573" w:rsidP="00156573">
            <w:r>
              <w:t>Übermittlungsprogramme"" aufgeführt. Wir bitten hier um nähere Spezifikationen.“</w:t>
            </w:r>
          </w:p>
        </w:tc>
        <w:tc>
          <w:tcPr>
            <w:tcW w:w="3634" w:type="dxa"/>
          </w:tcPr>
          <w:p w:rsidR="00156573" w:rsidRDefault="00156573" w:rsidP="00156573">
            <w:r>
              <w:t>E</w:t>
            </w:r>
            <w:r>
              <w:t>ine nähere Spezifikation kann seitens der Auftraggeber mangels Kenntnis der vom Bieter</w:t>
            </w:r>
          </w:p>
          <w:p w:rsidR="00156573" w:rsidRDefault="00156573" w:rsidP="00156573">
            <w:r>
              <w:t>verwendeten techn. Ausrüstung nicht erfolgen.</w:t>
            </w:r>
          </w:p>
          <w:p w:rsidR="00156573" w:rsidRDefault="00156573" w:rsidP="00156573">
            <w:r>
              <w:t>Gemeint ist z.B. das Anlegen und Fortschreiben einer Übersicht, die erkennen lässt, an welchen</w:t>
            </w:r>
          </w:p>
          <w:p w:rsidR="00156573" w:rsidRDefault="00156573" w:rsidP="00156573">
            <w:r>
              <w:t>Stellen während welcher Zeitspannen welche personenbezogenen Daten durch</w:t>
            </w:r>
          </w:p>
          <w:p w:rsidR="00156573" w:rsidRDefault="00156573" w:rsidP="00156573">
            <w:r>
              <w:t>Übertragungseinrichtungen übermittelt werden konnten bzw. können. Dazu gehört auch die</w:t>
            </w:r>
          </w:p>
          <w:p w:rsidR="00156573" w:rsidRDefault="00156573" w:rsidP="00156573">
            <w:r>
              <w:lastRenderedPageBreak/>
              <w:t>Dokumentation der Abruf- und Übermittlungsprogramme, der Übermittlungsweg und – stellen</w:t>
            </w:r>
          </w:p>
          <w:p w:rsidR="00156573" w:rsidRPr="005203A3" w:rsidRDefault="00156573" w:rsidP="00156573">
            <w:r>
              <w:t>sowie der entsprechenden Übermittlungs-Hardware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000B4A" w:rsidP="00156573">
            <w:r>
              <w:t>33</w:t>
            </w:r>
          </w:p>
        </w:tc>
        <w:tc>
          <w:tcPr>
            <w:tcW w:w="3458" w:type="dxa"/>
          </w:tcPr>
          <w:p w:rsidR="00156573" w:rsidRDefault="00156573" w:rsidP="00156573">
            <w:r>
              <w:t>„Des Weiteren bitten wir um Bestätigung</w:t>
            </w:r>
            <w:r>
              <w:t>,</w:t>
            </w:r>
            <w:r>
              <w:t xml:space="preserve"> dass der Punkt ""2 Integrität"", und ""3"" nur als</w:t>
            </w:r>
          </w:p>
          <w:p w:rsidR="00156573" w:rsidRDefault="00156573" w:rsidP="00156573">
            <w:r>
              <w:t>Überschrift fungieren, und nicht ausgefüllt werden müssen."</w:t>
            </w:r>
          </w:p>
        </w:tc>
        <w:tc>
          <w:tcPr>
            <w:tcW w:w="3634" w:type="dxa"/>
          </w:tcPr>
          <w:p w:rsidR="00156573" w:rsidRDefault="00156573" w:rsidP="00156573">
            <w:r w:rsidRPr="00030793">
              <w:t>Bestätigung wird erteilt.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Pr="0003079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000B4A" w:rsidP="00156573">
            <w:r>
              <w:t>34</w:t>
            </w:r>
          </w:p>
        </w:tc>
        <w:tc>
          <w:tcPr>
            <w:tcW w:w="3458" w:type="dxa"/>
          </w:tcPr>
          <w:p w:rsidR="00156573" w:rsidRDefault="00156573" w:rsidP="00156573">
            <w:r>
              <w:t>Frage zu §11 (4) der ADV: Der Auftragnehmer ist nach Beendigung des Vertrages verpflichtet,</w:t>
            </w:r>
          </w:p>
          <w:p w:rsidR="00156573" w:rsidRDefault="00156573" w:rsidP="00156573">
            <w:r>
              <w:t>empfangene Daten unwiderruflich zu löschen. Ist die Annahme richtig, dass dies nicht für Daten</w:t>
            </w:r>
          </w:p>
          <w:p w:rsidR="00156573" w:rsidRDefault="00156573" w:rsidP="00156573">
            <w:r>
              <w:t>gilt (z.B. E-Mails) die gesetzlichen Aufbewahrungspflichten unterliegen? Wir führen zudem</w:t>
            </w:r>
          </w:p>
          <w:p w:rsidR="00156573" w:rsidRDefault="00156573" w:rsidP="00156573">
            <w:r>
              <w:t>tägliche Datensicherungen/ Backups durch. Die Löschung von Daten, die im Rahmen dieser</w:t>
            </w:r>
          </w:p>
          <w:p w:rsidR="00156573" w:rsidRDefault="00156573" w:rsidP="00156573">
            <w:r>
              <w:t>regelmäßigen Datensicherungen gesichert werden, ist für uns mit einem erheblichen Aufwand</w:t>
            </w:r>
          </w:p>
          <w:p w:rsidR="00156573" w:rsidRDefault="00156573" w:rsidP="00156573">
            <w:r>
              <w:t>verbunden. Wir möchten deshalb folgende Ergänzung der Ziff. 11 vorschlagen: „Ausgenommen</w:t>
            </w:r>
          </w:p>
          <w:p w:rsidR="00156573" w:rsidRDefault="00156573" w:rsidP="00156573">
            <w:r>
              <w:t>von vorstehender Löschpflicht sind solche Informationen, die im Rahmen von regelmäßigen</w:t>
            </w:r>
          </w:p>
          <w:p w:rsidR="00156573" w:rsidRDefault="00156573" w:rsidP="00156573">
            <w:r>
              <w:t>Datensicherungen gesichert wurden, sofern ihre Löschung einen unverhältnismäßigen Aufwand</w:t>
            </w:r>
          </w:p>
          <w:p w:rsidR="00156573" w:rsidRDefault="00156573" w:rsidP="00156573">
            <w:r>
              <w:t>verursachen würde und der Auftragnehmer diese Sicherungen mit dem jeweils aktuellen Stand</w:t>
            </w:r>
          </w:p>
          <w:p w:rsidR="00156573" w:rsidRDefault="00156573" w:rsidP="00156573">
            <w:r>
              <w:t>der Technik entsprechenden Sicherungsmaßnahmen vor unbefugtem Zugriff Dritter schützt.“</w:t>
            </w:r>
          </w:p>
          <w:p w:rsidR="00156573" w:rsidRDefault="00156573" w:rsidP="00156573">
            <w:r>
              <w:t>Sind Sie mit einer solchen Ergänzung einverstanden?</w:t>
            </w:r>
          </w:p>
        </w:tc>
        <w:tc>
          <w:tcPr>
            <w:tcW w:w="3634" w:type="dxa"/>
          </w:tcPr>
          <w:p w:rsidR="00156573" w:rsidRDefault="00156573" w:rsidP="00156573">
            <w:r>
              <w:t>Nein. Wegen der Frage zu den Aufbewahrungsfristen wird auf den Wortlaut der Regelung in §</w:t>
            </w:r>
          </w:p>
          <w:p w:rsidR="00156573" w:rsidRDefault="00156573" w:rsidP="00156573">
            <w:r>
              <w:t>11 Abs. 4 verwiesen, die bereits die Einschränkung: "sofern nicht nach dem Unionsrecht oder</w:t>
            </w:r>
          </w:p>
          <w:p w:rsidR="00156573" w:rsidRDefault="00156573" w:rsidP="00156573">
            <w:r>
              <w:t>dem für den Auftragnehmer geltendem nationalen Recht eine Verpflichtung zur Speicherung der</w:t>
            </w:r>
          </w:p>
          <w:p w:rsidR="00156573" w:rsidRDefault="00156573" w:rsidP="00156573">
            <w:r>
              <w:t>personenbezogenen Daten besteht." enthält. Warum eine nochmalige Klarstellung erforderlich</w:t>
            </w:r>
          </w:p>
          <w:p w:rsidR="00156573" w:rsidRDefault="00156573" w:rsidP="00156573">
            <w:r>
              <w:t>sein soll, erschließt sich daher nicht. Eine Ausnahme von der vorgesehenen Löschungspflicht</w:t>
            </w:r>
          </w:p>
          <w:p w:rsidR="00156573" w:rsidRDefault="00156573" w:rsidP="00156573">
            <w:r>
              <w:t>gemäß dem Ergänzungsvorschlag wird nicht akzeptiert. Eine Ausnahme von den</w:t>
            </w:r>
          </w:p>
          <w:p w:rsidR="00156573" w:rsidRDefault="00156573" w:rsidP="00156573">
            <w:r>
              <w:t>Löschungspflichten nach DSGVO sieht § 35 BDSG nur für Fälle der nicht automatisierten</w:t>
            </w:r>
          </w:p>
          <w:p w:rsidR="00156573" w:rsidRDefault="00156573" w:rsidP="00156573">
            <w:r>
              <w:t>Datenverarbeitung vor, die nach der Anfrage des Bieters gerade nicht vorliegt. Der Ergänzung</w:t>
            </w:r>
          </w:p>
          <w:p w:rsidR="00156573" w:rsidRPr="00030793" w:rsidRDefault="00156573" w:rsidP="00156573">
            <w:r>
              <w:t>wird daher nicht zugestimmt</w:t>
            </w:r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Pr="00030793" w:rsidRDefault="00156573" w:rsidP="00156573"/>
        </w:tc>
      </w:tr>
      <w:tr w:rsidR="00156573" w:rsidTr="00000B4A">
        <w:tc>
          <w:tcPr>
            <w:tcW w:w="985" w:type="dxa"/>
          </w:tcPr>
          <w:p w:rsidR="00156573" w:rsidRPr="00A91653" w:rsidRDefault="00156573" w:rsidP="00156573">
            <w:pPr>
              <w:rPr>
                <w:b/>
              </w:rPr>
            </w:pPr>
          </w:p>
        </w:tc>
        <w:tc>
          <w:tcPr>
            <w:tcW w:w="7092" w:type="dxa"/>
            <w:gridSpan w:val="2"/>
            <w:shd w:val="clear" w:color="auto" w:fill="D0CECE" w:themeFill="background2" w:themeFillShade="E6"/>
          </w:tcPr>
          <w:p w:rsidR="00156573" w:rsidRPr="00A91653" w:rsidRDefault="00156573" w:rsidP="00156573">
            <w:pPr>
              <w:rPr>
                <w:b/>
              </w:rPr>
            </w:pPr>
            <w:r w:rsidRPr="00A91653">
              <w:rPr>
                <w:b/>
              </w:rPr>
              <w:t>Vertraulichkeitsvereinbarung</w:t>
            </w:r>
            <w:bookmarkStart w:id="0" w:name="_GoBack"/>
            <w:bookmarkEnd w:id="0"/>
          </w:p>
        </w:tc>
      </w:tr>
      <w:tr w:rsidR="00156573" w:rsidTr="00A91653">
        <w:tc>
          <w:tcPr>
            <w:tcW w:w="985" w:type="dxa"/>
          </w:tcPr>
          <w:p w:rsidR="00156573" w:rsidRDefault="00156573" w:rsidP="00156573"/>
        </w:tc>
        <w:tc>
          <w:tcPr>
            <w:tcW w:w="3458" w:type="dxa"/>
          </w:tcPr>
          <w:p w:rsidR="00156573" w:rsidRDefault="00156573" w:rsidP="00156573"/>
        </w:tc>
        <w:tc>
          <w:tcPr>
            <w:tcW w:w="3634" w:type="dxa"/>
          </w:tcPr>
          <w:p w:rsidR="00156573" w:rsidRPr="00030793" w:rsidRDefault="00156573" w:rsidP="00156573"/>
        </w:tc>
      </w:tr>
      <w:tr w:rsidR="00156573" w:rsidTr="00A91653">
        <w:tc>
          <w:tcPr>
            <w:tcW w:w="985" w:type="dxa"/>
          </w:tcPr>
          <w:p w:rsidR="00156573" w:rsidRDefault="00000B4A" w:rsidP="00156573">
            <w:r>
              <w:t>35</w:t>
            </w:r>
          </w:p>
        </w:tc>
        <w:tc>
          <w:tcPr>
            <w:tcW w:w="3458" w:type="dxa"/>
          </w:tcPr>
          <w:p w:rsidR="00156573" w:rsidRDefault="00156573" w:rsidP="00156573">
            <w:r>
              <w:t>Wir begrüßen ausdrücklich die durch die auf Gegenseitigkeit angelegte</w:t>
            </w:r>
          </w:p>
          <w:p w:rsidR="00156573" w:rsidRDefault="00156573" w:rsidP="00156573">
            <w:r>
              <w:lastRenderedPageBreak/>
              <w:t>Vertraulichkeitsvereinbarung ausgedrückte Wertschätzung für die Bieterparteien. Lediglich den</w:t>
            </w:r>
          </w:p>
          <w:p w:rsidR="00156573" w:rsidRDefault="00156573" w:rsidP="00156573">
            <w:r>
              <w:t>in Abschnitt 8 formulierten zeitlich unbeschränkten Fortbestand der Vertraulichkeit nach</w:t>
            </w:r>
          </w:p>
          <w:p w:rsidR="00156573" w:rsidRDefault="00156573" w:rsidP="00156573">
            <w:r>
              <w:t>Beendigung der Vereinbarung schätzen wir als nicht realistisch zu gewährleisten und er</w:t>
            </w:r>
          </w:p>
          <w:p w:rsidR="00156573" w:rsidRDefault="00156573" w:rsidP="00156573">
            <w:r>
              <w:t>heutigen Alterungsgeschwindigkeit von Informationen unangemessen ein. Kann die Zeitspanne</w:t>
            </w:r>
          </w:p>
          <w:p w:rsidR="00156573" w:rsidRDefault="00156573" w:rsidP="00156573">
            <w:r>
              <w:t>auf einen Zeitraum von unter 5 Jahren eingegrenzt werden und erhalten wir dazu dann noch ein</w:t>
            </w:r>
          </w:p>
          <w:p w:rsidR="00156573" w:rsidRDefault="00156573" w:rsidP="00156573">
            <w:r>
              <w:t>neues Dokument?</w:t>
            </w:r>
          </w:p>
          <w:p w:rsidR="00156573" w:rsidRDefault="00156573" w:rsidP="00156573"/>
        </w:tc>
        <w:tc>
          <w:tcPr>
            <w:tcW w:w="3634" w:type="dxa"/>
          </w:tcPr>
          <w:p w:rsidR="00156573" w:rsidRDefault="00156573" w:rsidP="00156573">
            <w:r>
              <w:lastRenderedPageBreak/>
              <w:t>Nein.</w:t>
            </w:r>
          </w:p>
          <w:p w:rsidR="00156573" w:rsidRPr="00030793" w:rsidRDefault="00156573" w:rsidP="00156573"/>
        </w:tc>
      </w:tr>
    </w:tbl>
    <w:p w:rsidR="001B6060" w:rsidRDefault="001B6060" w:rsidP="00427534"/>
    <w:p w:rsidR="001B6060" w:rsidRDefault="001B6060" w:rsidP="00427534"/>
    <w:p w:rsidR="001B6060" w:rsidRDefault="001B6060" w:rsidP="00427534"/>
    <w:p w:rsidR="001B6060" w:rsidRDefault="001B6060" w:rsidP="00427534"/>
    <w:p w:rsidR="001B6060" w:rsidRDefault="001B6060" w:rsidP="00427534"/>
    <w:p w:rsidR="001B6060" w:rsidRDefault="001B6060" w:rsidP="00427534"/>
    <w:p w:rsidR="001B6060" w:rsidRDefault="001B6060" w:rsidP="00427534"/>
    <w:p w:rsidR="001B6060" w:rsidRDefault="001B6060" w:rsidP="00427534"/>
    <w:p w:rsidR="001B6060" w:rsidRDefault="001B6060" w:rsidP="00427534"/>
    <w:p w:rsidR="001B6060" w:rsidRDefault="001B6060" w:rsidP="00427534"/>
    <w:p w:rsidR="001B6060" w:rsidRDefault="001B6060" w:rsidP="00427534"/>
    <w:p w:rsidR="001B6060" w:rsidRDefault="001B6060" w:rsidP="00427534"/>
    <w:p w:rsidR="00427534" w:rsidRDefault="00427534" w:rsidP="00427534"/>
    <w:p w:rsidR="00427534" w:rsidRDefault="00427534" w:rsidP="00427534"/>
    <w:p w:rsidR="00A91653" w:rsidRDefault="00A91653" w:rsidP="00427534"/>
    <w:p w:rsidR="00A91653" w:rsidRDefault="00A91653" w:rsidP="00427534"/>
    <w:p w:rsidR="00427534" w:rsidRDefault="00427534" w:rsidP="00427534"/>
    <w:p w:rsidR="00427534" w:rsidRDefault="00427534" w:rsidP="00427534"/>
    <w:p w:rsidR="00427534" w:rsidRDefault="00427534" w:rsidP="00427534"/>
    <w:p w:rsidR="00427534" w:rsidRDefault="00427534" w:rsidP="00427534"/>
    <w:p w:rsidR="00427534" w:rsidRDefault="00427534" w:rsidP="00427534"/>
    <w:p w:rsidR="00427534" w:rsidRDefault="00427534" w:rsidP="00427534"/>
    <w:p w:rsidR="00427534" w:rsidRDefault="00427534" w:rsidP="00427534"/>
    <w:p w:rsidR="00427534" w:rsidRDefault="00427534" w:rsidP="00427534"/>
    <w:p w:rsidR="00427534" w:rsidRDefault="00427534" w:rsidP="00427534"/>
    <w:p w:rsidR="00427534" w:rsidRDefault="00427534" w:rsidP="00427534"/>
    <w:p w:rsidR="00427534" w:rsidRDefault="00427534" w:rsidP="00427534"/>
    <w:p w:rsidR="00427534" w:rsidRDefault="00427534" w:rsidP="00427534"/>
    <w:p w:rsidR="00427534" w:rsidRDefault="00427534" w:rsidP="00427534"/>
    <w:p w:rsidR="00427534" w:rsidRDefault="00427534" w:rsidP="00427534">
      <w:r>
        <w:t>Frage 7:</w:t>
      </w:r>
    </w:p>
    <w:p w:rsidR="00427534" w:rsidRDefault="00427534" w:rsidP="00427534">
      <w:r>
        <w:t>gemäß Hinweis auf der letzten Seite des Dokumentes "L-1240-Eigenerklaerung-zur-</w:t>
      </w:r>
    </w:p>
    <w:p w:rsidR="00427534" w:rsidRDefault="00427534" w:rsidP="00427534">
      <w:r>
        <w:t>Eignung_0622_V100_03_07_24" muss die Vergabestelle die mit "*„ gekennzeichneten Feldern</w:t>
      </w:r>
    </w:p>
    <w:p w:rsidR="00427534" w:rsidRDefault="00427534" w:rsidP="00427534">
      <w:r>
        <w:t>ausfüllen. Gehen wir Recht in der Annahme, dass nur die durch die Vergabestelle angekreuzten</w:t>
      </w:r>
    </w:p>
    <w:p w:rsidR="00427534" w:rsidRDefault="00427534" w:rsidP="00427534">
      <w:r>
        <w:t>Felder vom Bieter zu bearbeiten und auszufüllen sind?</w:t>
      </w:r>
    </w:p>
    <w:p w:rsidR="00427534" w:rsidRDefault="00427534" w:rsidP="00427534"/>
    <w:p w:rsidR="00427534" w:rsidRDefault="00427534" w:rsidP="00427534">
      <w:r>
        <w:t>Antwort Frage 7:</w:t>
      </w:r>
    </w:p>
    <w:p w:rsidR="00427534" w:rsidRDefault="00427534" w:rsidP="00427534">
      <w:r>
        <w:t>Es sind nur dort Angaben zu machen, wo Aktivfelder angekreuzt wurden</w:t>
      </w:r>
    </w:p>
    <w:p w:rsidR="00427534" w:rsidRDefault="00427534" w:rsidP="00427534"/>
    <w:p w:rsidR="00427534" w:rsidRDefault="00427534" w:rsidP="00427534"/>
    <w:p w:rsidR="00427534" w:rsidRDefault="00427534" w:rsidP="00427534"/>
    <w:sectPr w:rsidR="004275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68" w:rsidRDefault="002C1368" w:rsidP="00156573">
      <w:pPr>
        <w:spacing w:after="0" w:line="240" w:lineRule="auto"/>
      </w:pPr>
      <w:r>
        <w:separator/>
      </w:r>
    </w:p>
  </w:endnote>
  <w:endnote w:type="continuationSeparator" w:id="0">
    <w:p w:rsidR="002C1368" w:rsidRDefault="002C1368" w:rsidP="0015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68" w:rsidRDefault="002C1368" w:rsidP="00156573">
      <w:pPr>
        <w:spacing w:after="0" w:line="240" w:lineRule="auto"/>
      </w:pPr>
      <w:r>
        <w:separator/>
      </w:r>
    </w:p>
  </w:footnote>
  <w:footnote w:type="continuationSeparator" w:id="0">
    <w:p w:rsidR="002C1368" w:rsidRDefault="002C1368" w:rsidP="0015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3F2"/>
    <w:multiLevelType w:val="hybridMultilevel"/>
    <w:tmpl w:val="E7C873B4"/>
    <w:lvl w:ilvl="0" w:tplc="8550B54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433E7"/>
    <w:multiLevelType w:val="hybridMultilevel"/>
    <w:tmpl w:val="DE2CE9DE"/>
    <w:lvl w:ilvl="0" w:tplc="D6EE1BE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F67E4"/>
    <w:multiLevelType w:val="hybridMultilevel"/>
    <w:tmpl w:val="D05E63AC"/>
    <w:lvl w:ilvl="0" w:tplc="A1EC850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34"/>
    <w:rsid w:val="00000B4A"/>
    <w:rsid w:val="00030793"/>
    <w:rsid w:val="00060D80"/>
    <w:rsid w:val="00156573"/>
    <w:rsid w:val="001B6060"/>
    <w:rsid w:val="002C1368"/>
    <w:rsid w:val="00427534"/>
    <w:rsid w:val="005203A3"/>
    <w:rsid w:val="00751BBF"/>
    <w:rsid w:val="007D0F10"/>
    <w:rsid w:val="00A91653"/>
    <w:rsid w:val="00B1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20B8"/>
  <w15:chartTrackingRefBased/>
  <w15:docId w15:val="{E3C6EEF8-4E8A-4E4D-ACAE-CBCB269C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B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606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5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573"/>
  </w:style>
  <w:style w:type="paragraph" w:styleId="Fuzeile">
    <w:name w:val="footer"/>
    <w:basedOn w:val="Standard"/>
    <w:link w:val="FuzeileZchn"/>
    <w:uiPriority w:val="99"/>
    <w:unhideWhenUsed/>
    <w:rsid w:val="0015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3716</Words>
  <Characters>23411</Characters>
  <Application>Microsoft Office Word</Application>
  <DocSecurity>0</DocSecurity>
  <Lines>195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AMEOS Spitalgesellschaft Schweiz</Company>
  <LinksUpToDate>false</LinksUpToDate>
  <CharactersWithSpaces>27073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Gabbert, Hendrik</dc:creator>
  <cp:keywords/>
  <dc:description/>
  <cp:lastModifiedBy>Gabbert, Hendrik</cp:lastModifiedBy>
  <cp:revision>2</cp:revision>
  <dcterms:created xsi:type="dcterms:W3CDTF">2024-09-12T06:44:00Z</dcterms:created>
  <dcterms:modified xsi:type="dcterms:W3CDTF">2024-09-12T08:28:00Z</dcterms:modified>
</cp:coreProperties>
</file>