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4C1CAB47" w14:textId="032A1EFF"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16</w:t>
      </w:r>
      <w:r>
        <w:rPr>
          <w:b/>
          <w:bCs/>
          <w:sz w:val="24"/>
          <w:szCs w:val="24"/>
        </w:rPr>
        <w:tab/>
      </w:r>
      <w:r w:rsidRPr="009E5271">
        <w:rPr>
          <w:sz w:val="24"/>
          <w:szCs w:val="24"/>
        </w:rPr>
        <w:t xml:space="preserve">nun da der Zeitraum für die Referenzen doch ausgeweitet wurde, fragen wir uns auf wie viel Jahre </w:t>
      </w:r>
      <w:proofErr w:type="spellStart"/>
      <w:r w:rsidRPr="009E5271">
        <w:rPr>
          <w:sz w:val="24"/>
          <w:szCs w:val="24"/>
        </w:rPr>
        <w:t>genau er</w:t>
      </w:r>
      <w:proofErr w:type="spellEnd"/>
      <w:r w:rsidRPr="009E5271">
        <w:rPr>
          <w:sz w:val="24"/>
          <w:szCs w:val="24"/>
        </w:rPr>
        <w:t xml:space="preserve"> ausgeweitet wurde? </w:t>
      </w:r>
      <w:r w:rsidRPr="009E5271">
        <w:rPr>
          <w:sz w:val="24"/>
          <w:szCs w:val="24"/>
        </w:rPr>
        <w:br/>
        <w:t xml:space="preserve">Und wir fragen uns, ob Mehrfachnennungen von Referenzen bei den einzelnen Kategorien </w:t>
      </w:r>
      <w:proofErr w:type="spellStart"/>
      <w:r w:rsidRPr="009E5271">
        <w:rPr>
          <w:sz w:val="24"/>
          <w:szCs w:val="24"/>
        </w:rPr>
        <w:t>zulaessig</w:t>
      </w:r>
      <w:proofErr w:type="spellEnd"/>
      <w:r w:rsidRPr="009E5271">
        <w:rPr>
          <w:sz w:val="24"/>
          <w:szCs w:val="24"/>
        </w:rPr>
        <w:t xml:space="preserve"> sind? Ob man z.B. dieselbe Referenz einmal für Generalplanung und einmal für Bildungsbauten benennen kann?"</w:t>
      </w:r>
    </w:p>
    <w:p w14:paraId="3480BF77" w14:textId="2E8093FE" w:rsidR="009E5271" w:rsidRPr="00D70B48"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16</w:t>
      </w:r>
      <w:r>
        <w:rPr>
          <w:b/>
          <w:bCs/>
          <w:sz w:val="24"/>
          <w:szCs w:val="24"/>
        </w:rPr>
        <w:tab/>
      </w:r>
      <w:r w:rsidR="00D70B48" w:rsidRPr="00D70B48">
        <w:rPr>
          <w:sz w:val="24"/>
          <w:szCs w:val="24"/>
        </w:rPr>
        <w:t>Wegen der Mehrfachnennungen von Referenzen verweisen wir auf den Ausschreibungstext. Bezüglich der zeitlich großzügigen Wertung von Referenzen soll hier keine Angaben zu den Jahren gemacht werden. Bitte berücksichtigen Sie aber einen zeitlich engen Zusammenhang zu den vergangenen 3 Jahren.</w:t>
      </w:r>
    </w:p>
    <w:p w14:paraId="016F0494" w14:textId="77777777" w:rsidR="00156E34"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951C5"/>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F36A1"/>
    <w:rsid w:val="002048F8"/>
    <w:rsid w:val="00210CBD"/>
    <w:rsid w:val="00215A11"/>
    <w:rsid w:val="00241D16"/>
    <w:rsid w:val="00242F55"/>
    <w:rsid w:val="002442C0"/>
    <w:rsid w:val="0026405F"/>
    <w:rsid w:val="002731C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44793"/>
    <w:rsid w:val="00456C48"/>
    <w:rsid w:val="00462CE3"/>
    <w:rsid w:val="00494730"/>
    <w:rsid w:val="004A5455"/>
    <w:rsid w:val="004D37F0"/>
    <w:rsid w:val="004F292A"/>
    <w:rsid w:val="004F378B"/>
    <w:rsid w:val="0052643F"/>
    <w:rsid w:val="00527FA6"/>
    <w:rsid w:val="00540CE6"/>
    <w:rsid w:val="0055451C"/>
    <w:rsid w:val="00564D16"/>
    <w:rsid w:val="00580A35"/>
    <w:rsid w:val="005854A9"/>
    <w:rsid w:val="005B3575"/>
    <w:rsid w:val="005C5B71"/>
    <w:rsid w:val="00643879"/>
    <w:rsid w:val="00656E38"/>
    <w:rsid w:val="006A74FB"/>
    <w:rsid w:val="006C0EA1"/>
    <w:rsid w:val="006C1398"/>
    <w:rsid w:val="007224D0"/>
    <w:rsid w:val="00733875"/>
    <w:rsid w:val="00752A4D"/>
    <w:rsid w:val="00804239"/>
    <w:rsid w:val="00827531"/>
    <w:rsid w:val="008561C8"/>
    <w:rsid w:val="008841EA"/>
    <w:rsid w:val="00892A1A"/>
    <w:rsid w:val="00896082"/>
    <w:rsid w:val="008A5D08"/>
    <w:rsid w:val="008C503F"/>
    <w:rsid w:val="008C7979"/>
    <w:rsid w:val="008F42DA"/>
    <w:rsid w:val="00921EB5"/>
    <w:rsid w:val="00922F01"/>
    <w:rsid w:val="00924810"/>
    <w:rsid w:val="009422FD"/>
    <w:rsid w:val="00981EAB"/>
    <w:rsid w:val="00986F5D"/>
    <w:rsid w:val="009960A3"/>
    <w:rsid w:val="009E5271"/>
    <w:rsid w:val="00A04DBF"/>
    <w:rsid w:val="00A23053"/>
    <w:rsid w:val="00A65A41"/>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423E"/>
    <w:rsid w:val="00C80169"/>
    <w:rsid w:val="00CE3CEA"/>
    <w:rsid w:val="00CE4120"/>
    <w:rsid w:val="00CE55FA"/>
    <w:rsid w:val="00D40070"/>
    <w:rsid w:val="00D4104E"/>
    <w:rsid w:val="00D551EC"/>
    <w:rsid w:val="00D6190B"/>
    <w:rsid w:val="00D70B48"/>
    <w:rsid w:val="00D770EE"/>
    <w:rsid w:val="00DF27A2"/>
    <w:rsid w:val="00E00AD0"/>
    <w:rsid w:val="00E0204F"/>
    <w:rsid w:val="00E053DB"/>
    <w:rsid w:val="00E144CE"/>
    <w:rsid w:val="00E456F2"/>
    <w:rsid w:val="00E5417C"/>
    <w:rsid w:val="00EF6FFE"/>
    <w:rsid w:val="00EF7694"/>
    <w:rsid w:val="00F10515"/>
    <w:rsid w:val="00F15E31"/>
    <w:rsid w:val="00F306A7"/>
    <w:rsid w:val="00F74A9B"/>
    <w:rsid w:val="00F842EB"/>
    <w:rsid w:val="00F93350"/>
    <w:rsid w:val="00F96D55"/>
    <w:rsid w:val="00FB296D"/>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8445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2024-05-03T11:43:00Z</dcterms:created>
  <dcterms:modified xsi:type="dcterms:W3CDTF">2024-05-03T11:43:00Z</dcterms:modified>
</cp:coreProperties>
</file>